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7623A" w14:textId="77777777" w:rsidR="002706B7" w:rsidRPr="005756A6" w:rsidRDefault="002706B7" w:rsidP="007720D5">
      <w:pPr>
        <w:spacing w:after="0" w:line="240" w:lineRule="auto"/>
        <w:jc w:val="center"/>
        <w:rPr>
          <w:rFonts w:ascii="Garamond" w:hAnsi="Garamond" w:cs="Times New Roman"/>
        </w:rPr>
      </w:pPr>
      <w:bookmarkStart w:id="0" w:name="_GoBack"/>
      <w:bookmarkEnd w:id="0"/>
    </w:p>
    <w:p w14:paraId="071EDF2C" w14:textId="73DED146" w:rsidR="00351048" w:rsidRPr="005756A6" w:rsidRDefault="00351048" w:rsidP="007720D5">
      <w:pPr>
        <w:spacing w:after="0" w:line="240" w:lineRule="auto"/>
        <w:jc w:val="center"/>
        <w:rPr>
          <w:rFonts w:ascii="Garamond" w:hAnsi="Garamond" w:cs="Times New Roman"/>
          <w:b/>
          <w:sz w:val="24"/>
          <w:szCs w:val="24"/>
        </w:rPr>
      </w:pPr>
      <w:r w:rsidRPr="005756A6">
        <w:rPr>
          <w:rFonts w:ascii="Garamond" w:hAnsi="Garamond" w:cs="Times New Roman"/>
          <w:b/>
          <w:sz w:val="24"/>
          <w:szCs w:val="24"/>
        </w:rPr>
        <w:t xml:space="preserve">Testing </w:t>
      </w:r>
      <w:r w:rsidR="004E0485" w:rsidRPr="005756A6">
        <w:rPr>
          <w:rFonts w:ascii="Garamond" w:hAnsi="Garamond" w:cs="Times New Roman"/>
          <w:b/>
          <w:sz w:val="24"/>
          <w:szCs w:val="24"/>
        </w:rPr>
        <w:t xml:space="preserve">Overall and Synergistic Campaign </w:t>
      </w:r>
      <w:r w:rsidRPr="005756A6">
        <w:rPr>
          <w:rFonts w:ascii="Garamond" w:hAnsi="Garamond" w:cs="Times New Roman"/>
          <w:b/>
          <w:sz w:val="24"/>
          <w:szCs w:val="24"/>
        </w:rPr>
        <w:t xml:space="preserve">Effects </w:t>
      </w:r>
      <w:r w:rsidR="004E0485" w:rsidRPr="005756A6">
        <w:rPr>
          <w:rFonts w:ascii="Garamond" w:hAnsi="Garamond" w:cs="Times New Roman"/>
          <w:b/>
          <w:sz w:val="24"/>
          <w:szCs w:val="24"/>
        </w:rPr>
        <w:t xml:space="preserve">in a </w:t>
      </w:r>
      <w:r w:rsidRPr="005756A6">
        <w:rPr>
          <w:rFonts w:ascii="Garamond" w:hAnsi="Garamond" w:cs="Times New Roman"/>
          <w:b/>
          <w:sz w:val="24"/>
          <w:szCs w:val="24"/>
        </w:rPr>
        <w:t xml:space="preserve">Partisan Statewide </w:t>
      </w:r>
      <w:r w:rsidR="004E0485" w:rsidRPr="005756A6">
        <w:rPr>
          <w:rFonts w:ascii="Garamond" w:hAnsi="Garamond" w:cs="Times New Roman"/>
          <w:b/>
          <w:sz w:val="24"/>
          <w:szCs w:val="24"/>
        </w:rPr>
        <w:t>Election</w:t>
      </w:r>
    </w:p>
    <w:p w14:paraId="65CFADF9" w14:textId="77777777" w:rsidR="002706B7" w:rsidRPr="005756A6" w:rsidRDefault="002706B7" w:rsidP="007720D5">
      <w:pPr>
        <w:spacing w:after="0" w:line="240" w:lineRule="auto"/>
        <w:jc w:val="center"/>
        <w:rPr>
          <w:rFonts w:ascii="Garamond" w:hAnsi="Garamond" w:cs="Times New Roman"/>
          <w:sz w:val="24"/>
          <w:szCs w:val="24"/>
        </w:rPr>
      </w:pPr>
    </w:p>
    <w:p w14:paraId="6B520A60" w14:textId="77777777" w:rsidR="007720D5" w:rsidRPr="005756A6" w:rsidRDefault="007720D5" w:rsidP="007720D5">
      <w:pPr>
        <w:spacing w:after="0" w:line="240" w:lineRule="auto"/>
        <w:jc w:val="center"/>
        <w:rPr>
          <w:rFonts w:ascii="Garamond" w:hAnsi="Garamond" w:cs="Times New Roman"/>
          <w:sz w:val="24"/>
          <w:szCs w:val="24"/>
        </w:rPr>
      </w:pPr>
      <w:r w:rsidRPr="005756A6">
        <w:rPr>
          <w:rFonts w:ascii="Garamond" w:hAnsi="Garamond" w:cs="Times New Roman"/>
          <w:sz w:val="24"/>
          <w:szCs w:val="24"/>
        </w:rPr>
        <w:t>Daron Shaw</w:t>
      </w:r>
    </w:p>
    <w:p w14:paraId="4564F006" w14:textId="77777777" w:rsidR="007720D5" w:rsidRPr="005756A6" w:rsidRDefault="007720D5" w:rsidP="007720D5">
      <w:pPr>
        <w:spacing w:after="0" w:line="240" w:lineRule="auto"/>
        <w:jc w:val="center"/>
        <w:rPr>
          <w:rFonts w:ascii="Garamond" w:hAnsi="Garamond" w:cs="Times New Roman"/>
          <w:sz w:val="24"/>
          <w:szCs w:val="24"/>
        </w:rPr>
      </w:pPr>
      <w:r w:rsidRPr="005756A6">
        <w:rPr>
          <w:rFonts w:ascii="Garamond" w:hAnsi="Garamond" w:cs="Times New Roman"/>
          <w:sz w:val="24"/>
          <w:szCs w:val="24"/>
        </w:rPr>
        <w:t>University of Texas at Austin</w:t>
      </w:r>
    </w:p>
    <w:p w14:paraId="4C58E66D" w14:textId="77777777" w:rsidR="007720D5" w:rsidRPr="005756A6" w:rsidRDefault="007720D5" w:rsidP="007720D5">
      <w:pPr>
        <w:spacing w:after="0" w:line="240" w:lineRule="auto"/>
        <w:jc w:val="center"/>
        <w:rPr>
          <w:rFonts w:ascii="Garamond" w:hAnsi="Garamond" w:cs="Times New Roman"/>
          <w:sz w:val="24"/>
          <w:szCs w:val="24"/>
        </w:rPr>
      </w:pPr>
      <w:r w:rsidRPr="005756A6">
        <w:rPr>
          <w:rFonts w:ascii="Garamond" w:hAnsi="Garamond" w:cs="Times New Roman"/>
          <w:sz w:val="24"/>
          <w:szCs w:val="24"/>
        </w:rPr>
        <w:t>Government Department</w:t>
      </w:r>
    </w:p>
    <w:p w14:paraId="098CD20C" w14:textId="77777777" w:rsidR="007720D5" w:rsidRPr="005756A6" w:rsidRDefault="003D75A1" w:rsidP="007720D5">
      <w:pPr>
        <w:spacing w:after="0" w:line="240" w:lineRule="auto"/>
        <w:jc w:val="center"/>
        <w:rPr>
          <w:rStyle w:val="Hyperlink"/>
          <w:rFonts w:ascii="Garamond" w:hAnsi="Garamond" w:cs="Times New Roman"/>
          <w:color w:val="auto"/>
          <w:sz w:val="24"/>
          <w:szCs w:val="24"/>
          <w:u w:val="none"/>
        </w:rPr>
      </w:pPr>
      <w:hyperlink r:id="rId8" w:history="1">
        <w:r w:rsidR="007720D5" w:rsidRPr="005756A6">
          <w:rPr>
            <w:rStyle w:val="Hyperlink"/>
            <w:rFonts w:ascii="Garamond" w:hAnsi="Garamond" w:cs="Times New Roman"/>
            <w:color w:val="auto"/>
            <w:sz w:val="24"/>
            <w:szCs w:val="24"/>
            <w:u w:val="none"/>
          </w:rPr>
          <w:t>dshaw@ausin.utexas.edu</w:t>
        </w:r>
      </w:hyperlink>
    </w:p>
    <w:p w14:paraId="7A62BFCB" w14:textId="77777777" w:rsidR="00493DF1" w:rsidRPr="005756A6" w:rsidRDefault="00493DF1" w:rsidP="007720D5">
      <w:pPr>
        <w:spacing w:after="0" w:line="240" w:lineRule="auto"/>
        <w:jc w:val="center"/>
        <w:rPr>
          <w:rFonts w:ascii="Garamond" w:hAnsi="Garamond" w:cs="Times New Roman"/>
          <w:sz w:val="24"/>
          <w:szCs w:val="24"/>
        </w:rPr>
      </w:pPr>
      <w:r w:rsidRPr="005756A6">
        <w:rPr>
          <w:rStyle w:val="Hyperlink"/>
          <w:rFonts w:ascii="Garamond" w:hAnsi="Garamond" w:cs="Times New Roman"/>
          <w:color w:val="auto"/>
          <w:sz w:val="24"/>
          <w:szCs w:val="24"/>
          <w:u w:val="none"/>
        </w:rPr>
        <w:t>512-232-7275</w:t>
      </w:r>
    </w:p>
    <w:p w14:paraId="3964B9BF" w14:textId="77777777" w:rsidR="007720D5" w:rsidRPr="005756A6" w:rsidRDefault="007720D5" w:rsidP="007720D5">
      <w:pPr>
        <w:spacing w:after="0" w:line="240" w:lineRule="auto"/>
        <w:rPr>
          <w:rFonts w:ascii="Garamond" w:hAnsi="Garamond" w:cs="Times New Roman"/>
          <w:sz w:val="24"/>
          <w:szCs w:val="24"/>
        </w:rPr>
      </w:pPr>
    </w:p>
    <w:p w14:paraId="6836968C" w14:textId="77777777" w:rsidR="002268F9" w:rsidRPr="005756A6" w:rsidRDefault="002268F9" w:rsidP="002268F9">
      <w:pPr>
        <w:spacing w:after="0" w:line="240" w:lineRule="auto"/>
        <w:jc w:val="center"/>
        <w:rPr>
          <w:rFonts w:ascii="Garamond" w:hAnsi="Garamond" w:cs="Times New Roman"/>
          <w:sz w:val="24"/>
          <w:szCs w:val="24"/>
        </w:rPr>
      </w:pPr>
      <w:r w:rsidRPr="005756A6">
        <w:rPr>
          <w:rFonts w:ascii="Garamond" w:hAnsi="Garamond" w:cs="Times New Roman"/>
          <w:sz w:val="24"/>
          <w:szCs w:val="24"/>
        </w:rPr>
        <w:t>Christopher Blunt</w:t>
      </w:r>
    </w:p>
    <w:p w14:paraId="113A619D" w14:textId="77777777" w:rsidR="002268F9" w:rsidRPr="005756A6" w:rsidRDefault="002268F9" w:rsidP="002268F9">
      <w:pPr>
        <w:spacing w:after="0" w:line="240" w:lineRule="auto"/>
        <w:jc w:val="center"/>
        <w:rPr>
          <w:rFonts w:ascii="Garamond" w:hAnsi="Garamond" w:cs="Times New Roman"/>
          <w:sz w:val="24"/>
          <w:szCs w:val="24"/>
        </w:rPr>
      </w:pPr>
      <w:r w:rsidRPr="005756A6">
        <w:rPr>
          <w:rFonts w:ascii="Garamond" w:hAnsi="Garamond" w:cs="Times New Roman"/>
          <w:sz w:val="24"/>
          <w:szCs w:val="24"/>
        </w:rPr>
        <w:t>Overbrook Research</w:t>
      </w:r>
    </w:p>
    <w:p w14:paraId="07BF74F8" w14:textId="77777777" w:rsidR="002268F9" w:rsidRPr="005756A6" w:rsidRDefault="002268F9" w:rsidP="002268F9">
      <w:pPr>
        <w:spacing w:after="0" w:line="240" w:lineRule="auto"/>
        <w:jc w:val="center"/>
        <w:rPr>
          <w:rFonts w:ascii="Garamond" w:hAnsi="Garamond" w:cs="Times New Roman"/>
          <w:sz w:val="24"/>
          <w:szCs w:val="24"/>
        </w:rPr>
      </w:pPr>
      <w:r w:rsidRPr="005756A6">
        <w:rPr>
          <w:rFonts w:ascii="Garamond" w:hAnsi="Garamond" w:cs="Times New Roman"/>
          <w:sz w:val="24"/>
          <w:szCs w:val="24"/>
        </w:rPr>
        <w:t>ccblunt@overbrookresearch.com</w:t>
      </w:r>
    </w:p>
    <w:p w14:paraId="56F6F2A8" w14:textId="77777777" w:rsidR="002268F9" w:rsidRPr="005756A6" w:rsidRDefault="002268F9" w:rsidP="002268F9">
      <w:pPr>
        <w:spacing w:after="0" w:line="240" w:lineRule="auto"/>
        <w:jc w:val="center"/>
        <w:rPr>
          <w:rFonts w:ascii="Garamond" w:hAnsi="Garamond" w:cs="Times New Roman"/>
          <w:sz w:val="24"/>
          <w:szCs w:val="24"/>
        </w:rPr>
      </w:pPr>
      <w:r w:rsidRPr="005756A6">
        <w:rPr>
          <w:rFonts w:ascii="Garamond" w:hAnsi="Garamond" w:cs="Times New Roman"/>
          <w:sz w:val="24"/>
          <w:szCs w:val="24"/>
        </w:rPr>
        <w:t>217-390-8006</w:t>
      </w:r>
    </w:p>
    <w:p w14:paraId="7CC557F1" w14:textId="77777777" w:rsidR="00395C69" w:rsidRPr="005756A6" w:rsidRDefault="00395C69" w:rsidP="002268F9">
      <w:pPr>
        <w:spacing w:after="0" w:line="240" w:lineRule="auto"/>
        <w:jc w:val="center"/>
        <w:rPr>
          <w:rFonts w:ascii="Garamond" w:hAnsi="Garamond" w:cs="Times New Roman"/>
          <w:sz w:val="24"/>
          <w:szCs w:val="24"/>
        </w:rPr>
      </w:pPr>
    </w:p>
    <w:p w14:paraId="39CBB7C8" w14:textId="21A07893" w:rsidR="00395C69" w:rsidRPr="005756A6" w:rsidRDefault="00395C69" w:rsidP="002268F9">
      <w:pPr>
        <w:spacing w:after="0" w:line="240" w:lineRule="auto"/>
        <w:jc w:val="center"/>
        <w:rPr>
          <w:rFonts w:ascii="Garamond" w:hAnsi="Garamond" w:cs="Times New Roman"/>
          <w:sz w:val="24"/>
          <w:szCs w:val="24"/>
        </w:rPr>
      </w:pPr>
      <w:r w:rsidRPr="005756A6">
        <w:rPr>
          <w:rFonts w:ascii="Garamond" w:hAnsi="Garamond" w:cs="Times New Roman"/>
          <w:sz w:val="24"/>
          <w:szCs w:val="24"/>
        </w:rPr>
        <w:t>Brent Seaborn</w:t>
      </w:r>
    </w:p>
    <w:p w14:paraId="5756379D" w14:textId="08097BE0" w:rsidR="00395C69" w:rsidRPr="005756A6" w:rsidRDefault="00395C69" w:rsidP="002268F9">
      <w:pPr>
        <w:spacing w:after="0" w:line="240" w:lineRule="auto"/>
        <w:jc w:val="center"/>
        <w:rPr>
          <w:rFonts w:ascii="Garamond" w:hAnsi="Garamond" w:cs="Times New Roman"/>
          <w:sz w:val="24"/>
          <w:szCs w:val="24"/>
        </w:rPr>
      </w:pPr>
      <w:r w:rsidRPr="005756A6">
        <w:rPr>
          <w:rFonts w:ascii="Garamond" w:hAnsi="Garamond" w:cs="Times New Roman"/>
          <w:sz w:val="24"/>
          <w:szCs w:val="24"/>
        </w:rPr>
        <w:t>TargetPoint Consulting</w:t>
      </w:r>
    </w:p>
    <w:p w14:paraId="243E6084" w14:textId="318D28ED" w:rsidR="00395C69" w:rsidRPr="005756A6" w:rsidRDefault="003D75A1" w:rsidP="002268F9">
      <w:pPr>
        <w:spacing w:after="0" w:line="240" w:lineRule="auto"/>
        <w:jc w:val="center"/>
        <w:rPr>
          <w:rFonts w:ascii="Garamond" w:hAnsi="Garamond" w:cs="Times New Roman"/>
          <w:sz w:val="24"/>
          <w:szCs w:val="24"/>
        </w:rPr>
      </w:pPr>
      <w:hyperlink r:id="rId9" w:history="1">
        <w:r w:rsidR="00395C69" w:rsidRPr="005756A6">
          <w:rPr>
            <w:rStyle w:val="Hyperlink"/>
            <w:rFonts w:ascii="Garamond" w:hAnsi="Garamond" w:cs="Times New Roman"/>
            <w:color w:val="auto"/>
            <w:sz w:val="24"/>
            <w:szCs w:val="24"/>
            <w:u w:val="none"/>
          </w:rPr>
          <w:t>bseaborn@targetpointconsulting.com</w:t>
        </w:r>
      </w:hyperlink>
    </w:p>
    <w:p w14:paraId="6EE204A2" w14:textId="004285AB" w:rsidR="00395C69" w:rsidRPr="005756A6" w:rsidRDefault="00395C69" w:rsidP="002268F9">
      <w:pPr>
        <w:spacing w:after="0" w:line="240" w:lineRule="auto"/>
        <w:jc w:val="center"/>
        <w:rPr>
          <w:rFonts w:ascii="Garamond" w:hAnsi="Garamond" w:cs="Times New Roman"/>
          <w:sz w:val="24"/>
          <w:szCs w:val="24"/>
        </w:rPr>
      </w:pPr>
      <w:r w:rsidRPr="005756A6">
        <w:rPr>
          <w:rFonts w:ascii="Garamond" w:hAnsi="Garamond" w:cs="Times New Roman"/>
          <w:sz w:val="24"/>
          <w:szCs w:val="24"/>
        </w:rPr>
        <w:t>703</w:t>
      </w:r>
      <w:r w:rsidR="003235AF" w:rsidRPr="005756A6">
        <w:rPr>
          <w:rFonts w:ascii="Garamond" w:hAnsi="Garamond" w:cs="Times New Roman"/>
          <w:sz w:val="24"/>
          <w:szCs w:val="24"/>
        </w:rPr>
        <w:t>-</w:t>
      </w:r>
      <w:r w:rsidRPr="005756A6">
        <w:rPr>
          <w:rFonts w:ascii="Garamond" w:hAnsi="Garamond" w:cs="Times New Roman"/>
          <w:sz w:val="24"/>
          <w:szCs w:val="24"/>
        </w:rPr>
        <w:t>535</w:t>
      </w:r>
      <w:r w:rsidR="003235AF" w:rsidRPr="005756A6">
        <w:rPr>
          <w:rFonts w:ascii="Garamond" w:hAnsi="Garamond" w:cs="Times New Roman"/>
          <w:sz w:val="24"/>
          <w:szCs w:val="24"/>
        </w:rPr>
        <w:t>-</w:t>
      </w:r>
      <w:r w:rsidRPr="005756A6">
        <w:rPr>
          <w:rFonts w:ascii="Garamond" w:hAnsi="Garamond" w:cs="Times New Roman"/>
          <w:sz w:val="24"/>
          <w:szCs w:val="24"/>
        </w:rPr>
        <w:t>8505</w:t>
      </w:r>
    </w:p>
    <w:p w14:paraId="5AC80972" w14:textId="77777777" w:rsidR="002706B7" w:rsidRPr="005756A6" w:rsidRDefault="002706B7" w:rsidP="007720D5">
      <w:pPr>
        <w:spacing w:after="0" w:line="240" w:lineRule="auto"/>
        <w:rPr>
          <w:rFonts w:ascii="Garamond" w:hAnsi="Garamond" w:cs="Times New Roman"/>
          <w:sz w:val="24"/>
          <w:szCs w:val="24"/>
        </w:rPr>
      </w:pPr>
    </w:p>
    <w:p w14:paraId="471F4244" w14:textId="77777777" w:rsidR="002706B7" w:rsidRPr="005756A6" w:rsidRDefault="002706B7" w:rsidP="007720D5">
      <w:pPr>
        <w:spacing w:after="0" w:line="240" w:lineRule="auto"/>
        <w:rPr>
          <w:rFonts w:ascii="Garamond" w:hAnsi="Garamond" w:cs="Times New Roman"/>
          <w:sz w:val="24"/>
          <w:szCs w:val="24"/>
        </w:rPr>
      </w:pPr>
    </w:p>
    <w:p w14:paraId="153DFB1B" w14:textId="77777777" w:rsidR="007720D5" w:rsidRPr="005756A6" w:rsidRDefault="007720D5" w:rsidP="001259B4">
      <w:pPr>
        <w:spacing w:after="0" w:line="480" w:lineRule="auto"/>
        <w:rPr>
          <w:rFonts w:ascii="Garamond" w:hAnsi="Garamond" w:cs="Times New Roman"/>
          <w:b/>
          <w:sz w:val="24"/>
          <w:szCs w:val="24"/>
        </w:rPr>
      </w:pPr>
      <w:r w:rsidRPr="005756A6">
        <w:rPr>
          <w:rFonts w:ascii="Garamond" w:hAnsi="Garamond" w:cs="Times New Roman"/>
          <w:b/>
          <w:sz w:val="24"/>
          <w:szCs w:val="24"/>
        </w:rPr>
        <w:t>Abstract</w:t>
      </w:r>
    </w:p>
    <w:p w14:paraId="05D6EA78" w14:textId="04339372" w:rsidR="007720D5" w:rsidRPr="005756A6" w:rsidRDefault="00457C65" w:rsidP="002342ED">
      <w:pPr>
        <w:spacing w:after="0" w:line="480" w:lineRule="auto"/>
        <w:rPr>
          <w:rFonts w:ascii="Garamond" w:hAnsi="Garamond" w:cs="Times New Roman"/>
          <w:sz w:val="24"/>
          <w:szCs w:val="24"/>
        </w:rPr>
      </w:pPr>
      <w:r>
        <w:rPr>
          <w:rFonts w:ascii="Garamond" w:hAnsi="Garamond" w:cs="Times New Roman"/>
          <w:sz w:val="24"/>
          <w:szCs w:val="24"/>
        </w:rPr>
        <w:t xml:space="preserve">Although studies based on </w:t>
      </w:r>
      <w:r w:rsidR="007720D5" w:rsidRPr="005756A6">
        <w:rPr>
          <w:rFonts w:ascii="Garamond" w:hAnsi="Garamond" w:cs="Times New Roman"/>
          <w:sz w:val="24"/>
          <w:szCs w:val="24"/>
        </w:rPr>
        <w:t xml:space="preserve">field experiments </w:t>
      </w:r>
      <w:r w:rsidR="005F545C" w:rsidRPr="005756A6">
        <w:rPr>
          <w:rFonts w:ascii="Garamond" w:hAnsi="Garamond" w:cs="Times New Roman"/>
          <w:sz w:val="24"/>
          <w:szCs w:val="24"/>
        </w:rPr>
        <w:t>and large-N surveys</w:t>
      </w:r>
      <w:r>
        <w:rPr>
          <w:rFonts w:ascii="Garamond" w:hAnsi="Garamond" w:cs="Times New Roman"/>
          <w:sz w:val="24"/>
          <w:szCs w:val="24"/>
        </w:rPr>
        <w:t xml:space="preserve"> have enhanced our understanding of how campaigns affect U.S. elections, </w:t>
      </w:r>
      <w:r w:rsidR="00673CCA">
        <w:rPr>
          <w:rFonts w:ascii="Garamond" w:hAnsi="Garamond" w:cs="Times New Roman"/>
          <w:sz w:val="24"/>
          <w:szCs w:val="24"/>
        </w:rPr>
        <w:t>few</w:t>
      </w:r>
      <w:r w:rsidR="009C2FD4" w:rsidRPr="005756A6">
        <w:rPr>
          <w:rFonts w:ascii="Garamond" w:hAnsi="Garamond" w:cs="Times New Roman"/>
          <w:sz w:val="24"/>
          <w:szCs w:val="24"/>
        </w:rPr>
        <w:t xml:space="preserve"> of these </w:t>
      </w:r>
      <w:r w:rsidR="00D55E89">
        <w:rPr>
          <w:rFonts w:ascii="Garamond" w:hAnsi="Garamond" w:cs="Times New Roman"/>
          <w:sz w:val="24"/>
          <w:szCs w:val="24"/>
        </w:rPr>
        <w:t>projects</w:t>
      </w:r>
      <w:r w:rsidR="009C2FD4" w:rsidRPr="005756A6">
        <w:rPr>
          <w:rFonts w:ascii="Garamond" w:hAnsi="Garamond" w:cs="Times New Roman"/>
          <w:sz w:val="24"/>
          <w:szCs w:val="24"/>
        </w:rPr>
        <w:t xml:space="preserve"> </w:t>
      </w:r>
      <w:r w:rsidR="00EF1B44" w:rsidRPr="005756A6">
        <w:rPr>
          <w:rFonts w:ascii="Garamond" w:hAnsi="Garamond" w:cs="Times New Roman"/>
          <w:sz w:val="24"/>
          <w:szCs w:val="24"/>
        </w:rPr>
        <w:t xml:space="preserve">have (1) considered the synergistic effects of different aspects of the campaign, (2) focused on statewide, partisan elections, </w:t>
      </w:r>
      <w:r w:rsidR="009C2FD4" w:rsidRPr="005756A6">
        <w:rPr>
          <w:rFonts w:ascii="Garamond" w:hAnsi="Garamond" w:cs="Times New Roman"/>
          <w:sz w:val="24"/>
          <w:szCs w:val="24"/>
        </w:rPr>
        <w:t>or</w:t>
      </w:r>
      <w:r w:rsidR="00EF1B44" w:rsidRPr="005756A6">
        <w:rPr>
          <w:rFonts w:ascii="Garamond" w:hAnsi="Garamond" w:cs="Times New Roman"/>
          <w:sz w:val="24"/>
          <w:szCs w:val="24"/>
        </w:rPr>
        <w:t xml:space="preserve"> (3) considered the durability of any estimated campaign effects</w:t>
      </w:r>
      <w:r w:rsidR="003A4E91" w:rsidRPr="005756A6">
        <w:rPr>
          <w:rFonts w:ascii="Garamond" w:hAnsi="Garamond" w:cs="Times New Roman"/>
          <w:sz w:val="24"/>
          <w:szCs w:val="24"/>
        </w:rPr>
        <w:t xml:space="preserve">. </w:t>
      </w:r>
      <w:r w:rsidR="00630A19" w:rsidRPr="005756A6">
        <w:rPr>
          <w:rFonts w:ascii="Garamond" w:hAnsi="Garamond" w:cs="Times New Roman"/>
          <w:sz w:val="24"/>
          <w:szCs w:val="24"/>
        </w:rPr>
        <w:t>W</w:t>
      </w:r>
      <w:r w:rsidR="004A24CA" w:rsidRPr="005756A6">
        <w:rPr>
          <w:rFonts w:ascii="Garamond" w:hAnsi="Garamond" w:cs="Times New Roman"/>
          <w:sz w:val="24"/>
          <w:szCs w:val="24"/>
        </w:rPr>
        <w:t xml:space="preserve">e rely on a massive field experiment from </w:t>
      </w:r>
      <w:r w:rsidR="00AC282A" w:rsidRPr="005756A6">
        <w:rPr>
          <w:rFonts w:ascii="Garamond" w:hAnsi="Garamond" w:cs="Times New Roman"/>
          <w:sz w:val="24"/>
          <w:szCs w:val="24"/>
        </w:rPr>
        <w:t xml:space="preserve">the 2014 </w:t>
      </w:r>
      <w:r w:rsidR="004A24CA" w:rsidRPr="005756A6">
        <w:rPr>
          <w:rFonts w:ascii="Garamond" w:hAnsi="Garamond" w:cs="Times New Roman"/>
          <w:sz w:val="24"/>
          <w:szCs w:val="24"/>
        </w:rPr>
        <w:t>Texas gubernatorial campaign to assess the individual</w:t>
      </w:r>
      <w:r w:rsidR="0071280C" w:rsidRPr="005756A6">
        <w:rPr>
          <w:rFonts w:ascii="Garamond" w:hAnsi="Garamond" w:cs="Times New Roman"/>
          <w:sz w:val="24"/>
          <w:szCs w:val="24"/>
        </w:rPr>
        <w:t xml:space="preserve">, </w:t>
      </w:r>
      <w:r w:rsidR="005F5E87" w:rsidRPr="005756A6">
        <w:rPr>
          <w:rFonts w:ascii="Garamond" w:hAnsi="Garamond" w:cs="Times New Roman"/>
          <w:sz w:val="24"/>
          <w:szCs w:val="24"/>
        </w:rPr>
        <w:t>synergistic</w:t>
      </w:r>
      <w:r w:rsidR="0071280C" w:rsidRPr="005756A6">
        <w:rPr>
          <w:rFonts w:ascii="Garamond" w:hAnsi="Garamond" w:cs="Times New Roman"/>
          <w:sz w:val="24"/>
          <w:szCs w:val="24"/>
        </w:rPr>
        <w:t>,</w:t>
      </w:r>
      <w:r w:rsidR="004A24CA" w:rsidRPr="005756A6">
        <w:rPr>
          <w:rFonts w:ascii="Garamond" w:hAnsi="Garamond" w:cs="Times New Roman"/>
          <w:sz w:val="24"/>
          <w:szCs w:val="24"/>
        </w:rPr>
        <w:t xml:space="preserve"> and collective impact of a variety of </w:t>
      </w:r>
      <w:r w:rsidR="00AC282A" w:rsidRPr="005756A6">
        <w:rPr>
          <w:rFonts w:ascii="Garamond" w:hAnsi="Garamond" w:cs="Times New Roman"/>
          <w:sz w:val="24"/>
          <w:szCs w:val="24"/>
        </w:rPr>
        <w:t xml:space="preserve">outreach </w:t>
      </w:r>
      <w:r w:rsidR="004A24CA" w:rsidRPr="005756A6">
        <w:rPr>
          <w:rFonts w:ascii="Garamond" w:hAnsi="Garamond" w:cs="Times New Roman"/>
          <w:sz w:val="24"/>
          <w:szCs w:val="24"/>
        </w:rPr>
        <w:t xml:space="preserve">modes on the electorate. The data </w:t>
      </w:r>
      <w:r w:rsidR="00AC282A" w:rsidRPr="005756A6">
        <w:rPr>
          <w:rFonts w:ascii="Garamond" w:hAnsi="Garamond" w:cs="Times New Roman"/>
          <w:sz w:val="24"/>
          <w:szCs w:val="24"/>
        </w:rPr>
        <w:t xml:space="preserve">demonstrate </w:t>
      </w:r>
      <w:r w:rsidR="00407489" w:rsidRPr="005756A6">
        <w:rPr>
          <w:rFonts w:ascii="Garamond" w:hAnsi="Garamond" w:cs="Times New Roman"/>
          <w:sz w:val="24"/>
          <w:szCs w:val="24"/>
        </w:rPr>
        <w:t xml:space="preserve">durable synergistic </w:t>
      </w:r>
      <w:r w:rsidR="00840A00" w:rsidRPr="005756A6">
        <w:rPr>
          <w:rFonts w:ascii="Garamond" w:hAnsi="Garamond" w:cs="Times New Roman"/>
          <w:sz w:val="24"/>
          <w:szCs w:val="24"/>
        </w:rPr>
        <w:t xml:space="preserve">and </w:t>
      </w:r>
      <w:r w:rsidR="00AC282A" w:rsidRPr="005756A6">
        <w:rPr>
          <w:rFonts w:ascii="Garamond" w:hAnsi="Garamond" w:cs="Times New Roman"/>
          <w:sz w:val="24"/>
          <w:szCs w:val="24"/>
        </w:rPr>
        <w:t xml:space="preserve">overall </w:t>
      </w:r>
      <w:r w:rsidR="00407489" w:rsidRPr="005756A6">
        <w:rPr>
          <w:rFonts w:ascii="Garamond" w:hAnsi="Garamond" w:cs="Times New Roman"/>
          <w:sz w:val="24"/>
          <w:szCs w:val="24"/>
        </w:rPr>
        <w:t xml:space="preserve">campaign </w:t>
      </w:r>
      <w:r w:rsidR="00AC282A" w:rsidRPr="005756A6">
        <w:rPr>
          <w:rFonts w:ascii="Garamond" w:hAnsi="Garamond" w:cs="Times New Roman"/>
          <w:sz w:val="24"/>
          <w:szCs w:val="24"/>
        </w:rPr>
        <w:t xml:space="preserve">effects on voters’ </w:t>
      </w:r>
      <w:r w:rsidR="002268F9" w:rsidRPr="005756A6">
        <w:rPr>
          <w:rFonts w:ascii="Garamond" w:hAnsi="Garamond" w:cs="Times New Roman"/>
          <w:sz w:val="24"/>
          <w:szCs w:val="24"/>
        </w:rPr>
        <w:t>attitudes towards the sponsoring candidate</w:t>
      </w:r>
      <w:r w:rsidR="00657C7F" w:rsidRPr="005756A6">
        <w:rPr>
          <w:rFonts w:ascii="Garamond" w:hAnsi="Garamond" w:cs="Times New Roman"/>
          <w:sz w:val="24"/>
          <w:szCs w:val="24"/>
        </w:rPr>
        <w:t>,</w:t>
      </w:r>
      <w:r w:rsidR="002268F9" w:rsidRPr="005756A6">
        <w:rPr>
          <w:rFonts w:ascii="Garamond" w:hAnsi="Garamond" w:cs="Times New Roman"/>
          <w:sz w:val="24"/>
          <w:szCs w:val="24"/>
        </w:rPr>
        <w:t xml:space="preserve"> </w:t>
      </w:r>
      <w:r w:rsidR="00AC282A" w:rsidRPr="005756A6">
        <w:rPr>
          <w:rFonts w:ascii="Garamond" w:hAnsi="Garamond" w:cs="Times New Roman"/>
          <w:sz w:val="24"/>
          <w:szCs w:val="24"/>
        </w:rPr>
        <w:t>with lesser effects on turnout. In addition,</w:t>
      </w:r>
      <w:r w:rsidR="00657C7F" w:rsidRPr="005756A6">
        <w:rPr>
          <w:rFonts w:ascii="Garamond" w:hAnsi="Garamond" w:cs="Times New Roman"/>
          <w:sz w:val="24"/>
          <w:szCs w:val="24"/>
        </w:rPr>
        <w:t xml:space="preserve"> while</w:t>
      </w:r>
      <w:r w:rsidR="00AC282A" w:rsidRPr="005756A6">
        <w:rPr>
          <w:rFonts w:ascii="Garamond" w:hAnsi="Garamond" w:cs="Times New Roman"/>
          <w:sz w:val="24"/>
          <w:szCs w:val="24"/>
        </w:rPr>
        <w:t xml:space="preserve"> the results </w:t>
      </w:r>
      <w:r w:rsidR="004A24CA" w:rsidRPr="005756A6">
        <w:rPr>
          <w:rFonts w:ascii="Garamond" w:hAnsi="Garamond" w:cs="Times New Roman"/>
          <w:sz w:val="24"/>
          <w:szCs w:val="24"/>
        </w:rPr>
        <w:t xml:space="preserve">indicate that television is rightly considered the most effective mover of voters, radio and online communication also have </w:t>
      </w:r>
      <w:r w:rsidR="00AC282A" w:rsidRPr="005756A6">
        <w:rPr>
          <w:rFonts w:ascii="Garamond" w:hAnsi="Garamond" w:cs="Times New Roman"/>
          <w:sz w:val="24"/>
          <w:szCs w:val="24"/>
        </w:rPr>
        <w:t>notable effects</w:t>
      </w:r>
      <w:r w:rsidR="002268F9" w:rsidRPr="005756A6">
        <w:rPr>
          <w:rFonts w:ascii="Garamond" w:hAnsi="Garamond" w:cs="Times New Roman"/>
          <w:sz w:val="24"/>
          <w:szCs w:val="24"/>
        </w:rPr>
        <w:t xml:space="preserve"> and may, in fact, offer a better return on investment</w:t>
      </w:r>
      <w:r w:rsidR="004A24CA" w:rsidRPr="005756A6">
        <w:rPr>
          <w:rFonts w:ascii="Garamond" w:hAnsi="Garamond" w:cs="Times New Roman"/>
          <w:sz w:val="24"/>
          <w:szCs w:val="24"/>
        </w:rPr>
        <w:t>.</w:t>
      </w:r>
    </w:p>
    <w:p w14:paraId="4C6A0DC7" w14:textId="77777777" w:rsidR="005756A6" w:rsidRDefault="005756A6" w:rsidP="001259B4">
      <w:pPr>
        <w:spacing w:after="0" w:line="480" w:lineRule="auto"/>
        <w:rPr>
          <w:rFonts w:ascii="Garamond" w:hAnsi="Garamond" w:cs="Times New Roman"/>
          <w:b/>
          <w:sz w:val="24"/>
          <w:szCs w:val="24"/>
        </w:rPr>
      </w:pPr>
    </w:p>
    <w:p w14:paraId="1B9F61B0" w14:textId="77777777" w:rsidR="005756A6" w:rsidRDefault="005756A6" w:rsidP="001259B4">
      <w:pPr>
        <w:spacing w:after="0" w:line="480" w:lineRule="auto"/>
        <w:rPr>
          <w:rFonts w:ascii="Garamond" w:hAnsi="Garamond" w:cs="Times New Roman"/>
          <w:b/>
          <w:sz w:val="24"/>
          <w:szCs w:val="24"/>
        </w:rPr>
      </w:pPr>
    </w:p>
    <w:p w14:paraId="4C7360F9" w14:textId="77777777" w:rsidR="005756A6" w:rsidRDefault="005756A6" w:rsidP="001259B4">
      <w:pPr>
        <w:spacing w:after="0" w:line="480" w:lineRule="auto"/>
        <w:rPr>
          <w:rFonts w:ascii="Garamond" w:hAnsi="Garamond" w:cs="Times New Roman"/>
          <w:b/>
          <w:sz w:val="24"/>
          <w:szCs w:val="24"/>
        </w:rPr>
      </w:pPr>
    </w:p>
    <w:p w14:paraId="077FF0B0" w14:textId="1BA18048" w:rsidR="004A24CA" w:rsidRPr="005756A6" w:rsidRDefault="004A24CA" w:rsidP="001259B4">
      <w:pPr>
        <w:spacing w:after="0" w:line="480" w:lineRule="auto"/>
        <w:rPr>
          <w:rFonts w:ascii="Garamond" w:hAnsi="Garamond" w:cs="Times New Roman"/>
          <w:b/>
          <w:sz w:val="24"/>
          <w:szCs w:val="24"/>
        </w:rPr>
      </w:pPr>
      <w:r w:rsidRPr="005756A6">
        <w:rPr>
          <w:rFonts w:ascii="Garamond" w:hAnsi="Garamond" w:cs="Times New Roman"/>
          <w:b/>
          <w:sz w:val="24"/>
          <w:szCs w:val="24"/>
        </w:rPr>
        <w:lastRenderedPageBreak/>
        <w:t>Introduction</w:t>
      </w:r>
    </w:p>
    <w:p w14:paraId="52414F7A" w14:textId="390C72D8" w:rsidR="00687C17" w:rsidRPr="005756A6" w:rsidRDefault="0077133D" w:rsidP="002D6C93">
      <w:pPr>
        <w:spacing w:after="0" w:line="480" w:lineRule="auto"/>
        <w:ind w:firstLine="360"/>
        <w:rPr>
          <w:rFonts w:ascii="Garamond" w:hAnsi="Garamond" w:cs="Times New Roman"/>
          <w:sz w:val="24"/>
          <w:szCs w:val="24"/>
        </w:rPr>
      </w:pPr>
      <w:r w:rsidRPr="005756A6">
        <w:rPr>
          <w:rFonts w:ascii="Garamond" w:hAnsi="Garamond" w:cs="Times New Roman"/>
          <w:sz w:val="24"/>
          <w:szCs w:val="24"/>
        </w:rPr>
        <w:t xml:space="preserve">Since the </w:t>
      </w:r>
      <w:r w:rsidR="007809D6" w:rsidRPr="005756A6">
        <w:rPr>
          <w:rFonts w:ascii="Garamond" w:hAnsi="Garamond" w:cs="Times New Roman"/>
          <w:sz w:val="24"/>
          <w:szCs w:val="24"/>
        </w:rPr>
        <w:t>late</w:t>
      </w:r>
      <w:r w:rsidR="00687C17" w:rsidRPr="005756A6">
        <w:rPr>
          <w:rFonts w:ascii="Garamond" w:hAnsi="Garamond" w:cs="Times New Roman"/>
          <w:sz w:val="24"/>
          <w:szCs w:val="24"/>
        </w:rPr>
        <w:t xml:space="preserve"> 1990s</w:t>
      </w:r>
      <w:r w:rsidRPr="005756A6">
        <w:rPr>
          <w:rFonts w:ascii="Garamond" w:hAnsi="Garamond" w:cs="Times New Roman"/>
          <w:sz w:val="24"/>
          <w:szCs w:val="24"/>
        </w:rPr>
        <w:t xml:space="preserve">, </w:t>
      </w:r>
      <w:r w:rsidR="00687C17" w:rsidRPr="005756A6">
        <w:rPr>
          <w:rFonts w:ascii="Garamond" w:hAnsi="Garamond" w:cs="Times New Roman"/>
          <w:sz w:val="24"/>
          <w:szCs w:val="24"/>
        </w:rPr>
        <w:t>political scien</w:t>
      </w:r>
      <w:r w:rsidR="00375C17" w:rsidRPr="005756A6">
        <w:rPr>
          <w:rFonts w:ascii="Garamond" w:hAnsi="Garamond" w:cs="Times New Roman"/>
          <w:sz w:val="24"/>
          <w:szCs w:val="24"/>
        </w:rPr>
        <w:t>ce research has shed considerable light on t</w:t>
      </w:r>
      <w:r w:rsidR="00687C17" w:rsidRPr="005756A6">
        <w:rPr>
          <w:rFonts w:ascii="Garamond" w:hAnsi="Garamond" w:cs="Times New Roman"/>
          <w:sz w:val="24"/>
          <w:szCs w:val="24"/>
        </w:rPr>
        <w:t xml:space="preserve">he influence of </w:t>
      </w:r>
      <w:r w:rsidR="007D023B" w:rsidRPr="005756A6">
        <w:rPr>
          <w:rFonts w:ascii="Garamond" w:hAnsi="Garamond" w:cs="Times New Roman"/>
          <w:sz w:val="24"/>
          <w:szCs w:val="24"/>
        </w:rPr>
        <w:t xml:space="preserve">common modes of </w:t>
      </w:r>
      <w:r w:rsidR="00840A00" w:rsidRPr="005756A6">
        <w:rPr>
          <w:rFonts w:ascii="Garamond" w:hAnsi="Garamond" w:cs="Times New Roman"/>
          <w:sz w:val="24"/>
          <w:szCs w:val="24"/>
        </w:rPr>
        <w:t xml:space="preserve">campaign </w:t>
      </w:r>
      <w:r w:rsidR="007D023B" w:rsidRPr="005756A6">
        <w:rPr>
          <w:rFonts w:ascii="Garamond" w:hAnsi="Garamond" w:cs="Times New Roman"/>
          <w:sz w:val="24"/>
          <w:szCs w:val="24"/>
        </w:rPr>
        <w:t>communication—mail</w:t>
      </w:r>
      <w:r w:rsidR="00E166F9" w:rsidRPr="005756A6">
        <w:rPr>
          <w:rFonts w:ascii="Garamond" w:hAnsi="Garamond" w:cs="Times New Roman"/>
          <w:sz w:val="24"/>
          <w:szCs w:val="24"/>
        </w:rPr>
        <w:t>, telephones, and in-person contacting</w:t>
      </w:r>
      <w:r w:rsidR="007D023B" w:rsidRPr="005756A6">
        <w:rPr>
          <w:rFonts w:ascii="Garamond" w:hAnsi="Garamond" w:cs="Times New Roman"/>
          <w:sz w:val="24"/>
          <w:szCs w:val="24"/>
        </w:rPr>
        <w:t xml:space="preserve">—on </w:t>
      </w:r>
      <w:r w:rsidR="003C0F34" w:rsidRPr="005756A6">
        <w:rPr>
          <w:rFonts w:ascii="Garamond" w:hAnsi="Garamond" w:cs="Times New Roman"/>
          <w:sz w:val="24"/>
          <w:szCs w:val="24"/>
        </w:rPr>
        <w:t xml:space="preserve">U.S. </w:t>
      </w:r>
      <w:r w:rsidR="00687C17" w:rsidRPr="005756A6">
        <w:rPr>
          <w:rFonts w:ascii="Garamond" w:hAnsi="Garamond" w:cs="Times New Roman"/>
          <w:sz w:val="24"/>
          <w:szCs w:val="24"/>
        </w:rPr>
        <w:t>voters and elections.</w:t>
      </w:r>
      <w:r w:rsidR="00BA3DF7" w:rsidRPr="005756A6">
        <w:rPr>
          <w:rFonts w:ascii="Garamond" w:hAnsi="Garamond" w:cs="Times New Roman"/>
          <w:sz w:val="24"/>
          <w:szCs w:val="24"/>
        </w:rPr>
        <w:t xml:space="preserve"> But the</w:t>
      </w:r>
      <w:r w:rsidR="00011E3D" w:rsidRPr="005756A6">
        <w:rPr>
          <w:rFonts w:ascii="Garamond" w:hAnsi="Garamond" w:cs="Times New Roman"/>
          <w:sz w:val="24"/>
          <w:szCs w:val="24"/>
        </w:rPr>
        <w:t xml:space="preserve"> effects</w:t>
      </w:r>
      <w:r w:rsidR="0071280C" w:rsidRPr="005756A6">
        <w:rPr>
          <w:rFonts w:ascii="Garamond" w:hAnsi="Garamond" w:cs="Times New Roman"/>
          <w:sz w:val="24"/>
          <w:szCs w:val="24"/>
        </w:rPr>
        <w:t xml:space="preserve"> of </w:t>
      </w:r>
      <w:r w:rsidR="007D023B" w:rsidRPr="005756A6">
        <w:rPr>
          <w:rFonts w:ascii="Garamond" w:hAnsi="Garamond" w:cs="Times New Roman"/>
          <w:sz w:val="24"/>
          <w:szCs w:val="24"/>
        </w:rPr>
        <w:t>the dominant modes—b</w:t>
      </w:r>
      <w:r w:rsidR="0071280C" w:rsidRPr="005756A6">
        <w:rPr>
          <w:rFonts w:ascii="Garamond" w:hAnsi="Garamond" w:cs="Times New Roman"/>
          <w:sz w:val="24"/>
          <w:szCs w:val="24"/>
        </w:rPr>
        <w:t>roadcast and online advertising</w:t>
      </w:r>
      <w:r w:rsidR="007D023B" w:rsidRPr="005756A6">
        <w:rPr>
          <w:rFonts w:ascii="Garamond" w:hAnsi="Garamond" w:cs="Times New Roman"/>
          <w:sz w:val="24"/>
          <w:szCs w:val="24"/>
        </w:rPr>
        <w:t xml:space="preserve">—as </w:t>
      </w:r>
      <w:r w:rsidR="0071280C" w:rsidRPr="005756A6">
        <w:rPr>
          <w:rFonts w:ascii="Garamond" w:hAnsi="Garamond" w:cs="Times New Roman"/>
          <w:sz w:val="24"/>
          <w:szCs w:val="24"/>
        </w:rPr>
        <w:t xml:space="preserve">well as the </w:t>
      </w:r>
      <w:r w:rsidR="00FB6D11" w:rsidRPr="005756A6">
        <w:rPr>
          <w:rFonts w:ascii="Garamond" w:hAnsi="Garamond" w:cs="Times New Roman"/>
          <w:sz w:val="24"/>
          <w:szCs w:val="24"/>
        </w:rPr>
        <w:t xml:space="preserve">synergistic and </w:t>
      </w:r>
      <w:r w:rsidR="0071280C" w:rsidRPr="005756A6">
        <w:rPr>
          <w:rFonts w:ascii="Garamond" w:hAnsi="Garamond" w:cs="Times New Roman"/>
          <w:sz w:val="24"/>
          <w:szCs w:val="24"/>
        </w:rPr>
        <w:t xml:space="preserve">overall effects of </w:t>
      </w:r>
      <w:r w:rsidR="00840A00" w:rsidRPr="005756A6">
        <w:rPr>
          <w:rFonts w:ascii="Garamond" w:hAnsi="Garamond" w:cs="Times New Roman"/>
          <w:sz w:val="24"/>
          <w:szCs w:val="24"/>
        </w:rPr>
        <w:t>electioneering</w:t>
      </w:r>
      <w:r w:rsidR="0071280C" w:rsidRPr="005756A6">
        <w:rPr>
          <w:rFonts w:ascii="Garamond" w:hAnsi="Garamond" w:cs="Times New Roman"/>
          <w:sz w:val="24"/>
          <w:szCs w:val="24"/>
        </w:rPr>
        <w:t>, remain</w:t>
      </w:r>
      <w:r w:rsidR="00687D21" w:rsidRPr="005756A6">
        <w:rPr>
          <w:rFonts w:ascii="Garamond" w:hAnsi="Garamond" w:cs="Times New Roman"/>
          <w:sz w:val="24"/>
          <w:szCs w:val="24"/>
        </w:rPr>
        <w:t xml:space="preserve"> a matter of dispute. The reasons </w:t>
      </w:r>
      <w:r w:rsidR="00B30FA3" w:rsidRPr="005756A6">
        <w:rPr>
          <w:rFonts w:ascii="Garamond" w:hAnsi="Garamond" w:cs="Times New Roman"/>
          <w:sz w:val="24"/>
          <w:szCs w:val="24"/>
        </w:rPr>
        <w:t xml:space="preserve">for this </w:t>
      </w:r>
      <w:r w:rsidR="00687D21" w:rsidRPr="005756A6">
        <w:rPr>
          <w:rFonts w:ascii="Garamond" w:hAnsi="Garamond" w:cs="Times New Roman"/>
          <w:sz w:val="24"/>
          <w:szCs w:val="24"/>
        </w:rPr>
        <w:t xml:space="preserve">are straightforward: </w:t>
      </w:r>
      <w:r w:rsidR="003C0F34" w:rsidRPr="005756A6">
        <w:rPr>
          <w:rFonts w:ascii="Garamond" w:hAnsi="Garamond" w:cs="Times New Roman"/>
          <w:sz w:val="24"/>
          <w:szCs w:val="24"/>
        </w:rPr>
        <w:t xml:space="preserve">American </w:t>
      </w:r>
      <w:r w:rsidR="005B2C6A" w:rsidRPr="005756A6">
        <w:rPr>
          <w:rFonts w:ascii="Garamond" w:hAnsi="Garamond" w:cs="Times New Roman"/>
          <w:sz w:val="24"/>
          <w:szCs w:val="24"/>
        </w:rPr>
        <w:t>campaigns are noisy</w:t>
      </w:r>
      <w:r w:rsidR="00A94146" w:rsidRPr="005756A6">
        <w:rPr>
          <w:rFonts w:ascii="Garamond" w:hAnsi="Garamond" w:cs="Times New Roman"/>
          <w:sz w:val="24"/>
          <w:szCs w:val="24"/>
        </w:rPr>
        <w:t>,</w:t>
      </w:r>
      <w:r w:rsidR="005B2C6A" w:rsidRPr="005756A6">
        <w:rPr>
          <w:rFonts w:ascii="Garamond" w:hAnsi="Garamond" w:cs="Times New Roman"/>
          <w:sz w:val="24"/>
          <w:szCs w:val="24"/>
        </w:rPr>
        <w:t xml:space="preserve"> and it is difficult to isolate the independent impact of singular forms of outreach. More generally, calculating the sum of these impacts</w:t>
      </w:r>
      <w:r w:rsidR="00463D94" w:rsidRPr="005756A6">
        <w:rPr>
          <w:rFonts w:ascii="Garamond" w:hAnsi="Garamond" w:cs="Times New Roman"/>
          <w:sz w:val="24"/>
          <w:szCs w:val="24"/>
        </w:rPr>
        <w:t xml:space="preserve"> and offering estimate</w:t>
      </w:r>
      <w:r w:rsidR="00FB6D11" w:rsidRPr="005756A6">
        <w:rPr>
          <w:rFonts w:ascii="Garamond" w:hAnsi="Garamond" w:cs="Times New Roman"/>
          <w:sz w:val="24"/>
          <w:szCs w:val="24"/>
        </w:rPr>
        <w:t>s</w:t>
      </w:r>
      <w:r w:rsidR="00463D94" w:rsidRPr="005756A6">
        <w:rPr>
          <w:rFonts w:ascii="Garamond" w:hAnsi="Garamond" w:cs="Times New Roman"/>
          <w:sz w:val="24"/>
          <w:szCs w:val="24"/>
        </w:rPr>
        <w:t xml:space="preserve"> of the </w:t>
      </w:r>
      <w:r w:rsidR="00FB6D11" w:rsidRPr="005756A6">
        <w:rPr>
          <w:rFonts w:ascii="Garamond" w:hAnsi="Garamond" w:cs="Times New Roman"/>
          <w:sz w:val="24"/>
          <w:szCs w:val="24"/>
        </w:rPr>
        <w:t xml:space="preserve">interactive and </w:t>
      </w:r>
      <w:r w:rsidR="00463D94" w:rsidRPr="005756A6">
        <w:rPr>
          <w:rFonts w:ascii="Garamond" w:hAnsi="Garamond" w:cs="Times New Roman"/>
          <w:sz w:val="24"/>
          <w:szCs w:val="24"/>
        </w:rPr>
        <w:t>total effect</w:t>
      </w:r>
      <w:r w:rsidR="00FB6D11" w:rsidRPr="005756A6">
        <w:rPr>
          <w:rFonts w:ascii="Garamond" w:hAnsi="Garamond" w:cs="Times New Roman"/>
          <w:sz w:val="24"/>
          <w:szCs w:val="24"/>
        </w:rPr>
        <w:t>s</w:t>
      </w:r>
      <w:r w:rsidR="00463D94" w:rsidRPr="005756A6">
        <w:rPr>
          <w:rFonts w:ascii="Garamond" w:hAnsi="Garamond" w:cs="Times New Roman"/>
          <w:sz w:val="24"/>
          <w:szCs w:val="24"/>
        </w:rPr>
        <w:t xml:space="preserve"> of the campaign is close to impossible.</w:t>
      </w:r>
      <w:r w:rsidR="00687D21" w:rsidRPr="005756A6">
        <w:rPr>
          <w:rFonts w:ascii="Garamond" w:hAnsi="Garamond" w:cs="Times New Roman"/>
          <w:sz w:val="24"/>
          <w:szCs w:val="24"/>
        </w:rPr>
        <w:t xml:space="preserve"> </w:t>
      </w:r>
      <w:r w:rsidR="00687C17" w:rsidRPr="005756A6">
        <w:rPr>
          <w:rFonts w:ascii="Garamond" w:hAnsi="Garamond" w:cs="Times New Roman"/>
          <w:sz w:val="24"/>
          <w:szCs w:val="24"/>
        </w:rPr>
        <w:t xml:space="preserve"> </w:t>
      </w:r>
    </w:p>
    <w:p w14:paraId="2E92D65C" w14:textId="1F8E92A9" w:rsidR="00B26519" w:rsidRPr="005756A6" w:rsidRDefault="00463D94" w:rsidP="002D6C93">
      <w:pPr>
        <w:spacing w:after="0" w:line="480" w:lineRule="auto"/>
        <w:ind w:firstLine="360"/>
        <w:rPr>
          <w:rFonts w:ascii="Garamond" w:hAnsi="Garamond" w:cs="Times New Roman"/>
          <w:sz w:val="24"/>
          <w:szCs w:val="24"/>
        </w:rPr>
      </w:pPr>
      <w:r w:rsidRPr="005756A6">
        <w:rPr>
          <w:rFonts w:ascii="Garamond" w:hAnsi="Garamond" w:cs="Times New Roman"/>
          <w:sz w:val="24"/>
          <w:szCs w:val="24"/>
        </w:rPr>
        <w:t xml:space="preserve">Still, </w:t>
      </w:r>
      <w:r w:rsidR="00202835" w:rsidRPr="005756A6">
        <w:rPr>
          <w:rFonts w:ascii="Garamond" w:hAnsi="Garamond" w:cs="Times New Roman"/>
          <w:sz w:val="24"/>
          <w:szCs w:val="24"/>
        </w:rPr>
        <w:t xml:space="preserve">the allure of learning more about this essential element of democratic functioning is </w:t>
      </w:r>
      <w:r w:rsidR="00375C17" w:rsidRPr="005756A6">
        <w:rPr>
          <w:rFonts w:ascii="Garamond" w:hAnsi="Garamond" w:cs="Times New Roman"/>
          <w:sz w:val="24"/>
          <w:szCs w:val="24"/>
        </w:rPr>
        <w:t>compelling</w:t>
      </w:r>
      <w:r w:rsidR="00202835" w:rsidRPr="005756A6">
        <w:rPr>
          <w:rFonts w:ascii="Garamond" w:hAnsi="Garamond" w:cs="Times New Roman"/>
          <w:sz w:val="24"/>
          <w:szCs w:val="24"/>
        </w:rPr>
        <w:t>. As many have observed, c</w:t>
      </w:r>
      <w:r w:rsidRPr="005756A6">
        <w:rPr>
          <w:rFonts w:ascii="Garamond" w:hAnsi="Garamond" w:cs="Times New Roman"/>
          <w:sz w:val="24"/>
          <w:szCs w:val="24"/>
        </w:rPr>
        <w:t>ampaigns are the connective tissue between voters and elected officials</w:t>
      </w:r>
      <w:r w:rsidR="003C0F34" w:rsidRPr="005756A6">
        <w:rPr>
          <w:rFonts w:ascii="Garamond" w:hAnsi="Garamond" w:cs="Times New Roman"/>
          <w:sz w:val="24"/>
          <w:szCs w:val="24"/>
        </w:rPr>
        <w:t xml:space="preserve"> (</w:t>
      </w:r>
      <w:r w:rsidR="00FB6D11" w:rsidRPr="005756A6">
        <w:rPr>
          <w:rFonts w:ascii="Garamond" w:hAnsi="Garamond" w:cs="Times New Roman"/>
          <w:sz w:val="24"/>
          <w:szCs w:val="24"/>
        </w:rPr>
        <w:t>Campbell, 200</w:t>
      </w:r>
      <w:r w:rsidR="005B223D">
        <w:rPr>
          <w:rFonts w:ascii="Garamond" w:hAnsi="Garamond" w:cs="Times New Roman"/>
          <w:sz w:val="24"/>
          <w:szCs w:val="24"/>
        </w:rPr>
        <w:t>8</w:t>
      </w:r>
      <w:r w:rsidR="003C0F34" w:rsidRPr="005756A6">
        <w:rPr>
          <w:rFonts w:ascii="Garamond" w:hAnsi="Garamond" w:cs="Times New Roman"/>
          <w:sz w:val="24"/>
          <w:szCs w:val="24"/>
        </w:rPr>
        <w:t>)</w:t>
      </w:r>
      <w:r w:rsidR="00202835" w:rsidRPr="005756A6">
        <w:rPr>
          <w:rFonts w:ascii="Garamond" w:hAnsi="Garamond" w:cs="Times New Roman"/>
          <w:sz w:val="24"/>
          <w:szCs w:val="24"/>
        </w:rPr>
        <w:t>. C</w:t>
      </w:r>
      <w:r w:rsidRPr="005756A6">
        <w:rPr>
          <w:rFonts w:ascii="Garamond" w:hAnsi="Garamond" w:cs="Times New Roman"/>
          <w:sz w:val="24"/>
          <w:szCs w:val="24"/>
        </w:rPr>
        <w:t xml:space="preserve">ampaigns </w:t>
      </w:r>
      <w:r w:rsidR="00202835" w:rsidRPr="005756A6">
        <w:rPr>
          <w:rFonts w:ascii="Garamond" w:hAnsi="Garamond" w:cs="Times New Roman"/>
          <w:sz w:val="24"/>
          <w:szCs w:val="24"/>
        </w:rPr>
        <w:t xml:space="preserve">are where candidates </w:t>
      </w:r>
      <w:r w:rsidRPr="005756A6">
        <w:rPr>
          <w:rFonts w:ascii="Garamond" w:hAnsi="Garamond" w:cs="Times New Roman"/>
          <w:sz w:val="24"/>
          <w:szCs w:val="24"/>
        </w:rPr>
        <w:t xml:space="preserve">convey promises and commitments that bind </w:t>
      </w:r>
      <w:r w:rsidR="00B26519" w:rsidRPr="005756A6">
        <w:rPr>
          <w:rFonts w:ascii="Garamond" w:hAnsi="Garamond" w:cs="Times New Roman"/>
          <w:sz w:val="24"/>
          <w:szCs w:val="24"/>
        </w:rPr>
        <w:t>them</w:t>
      </w:r>
      <w:r w:rsidRPr="005756A6">
        <w:rPr>
          <w:rFonts w:ascii="Garamond" w:hAnsi="Garamond" w:cs="Times New Roman"/>
          <w:sz w:val="24"/>
          <w:szCs w:val="24"/>
        </w:rPr>
        <w:t xml:space="preserve"> to </w:t>
      </w:r>
      <w:r w:rsidR="00B26519" w:rsidRPr="005756A6">
        <w:rPr>
          <w:rFonts w:ascii="Garamond" w:hAnsi="Garamond" w:cs="Times New Roman"/>
          <w:sz w:val="24"/>
          <w:szCs w:val="24"/>
        </w:rPr>
        <w:t xml:space="preserve">specific policy acts as public officials. They establish the basis for accountability and, in no minor way, democracy. </w:t>
      </w:r>
    </w:p>
    <w:p w14:paraId="5236557F" w14:textId="77777777" w:rsidR="00463D94" w:rsidRPr="005756A6" w:rsidRDefault="00E166F9" w:rsidP="002D6C93">
      <w:pPr>
        <w:spacing w:after="0" w:line="480" w:lineRule="auto"/>
        <w:ind w:firstLine="360"/>
        <w:rPr>
          <w:rFonts w:ascii="Garamond" w:hAnsi="Garamond" w:cs="Times New Roman"/>
          <w:sz w:val="24"/>
          <w:szCs w:val="24"/>
        </w:rPr>
      </w:pPr>
      <w:r w:rsidRPr="005756A6">
        <w:rPr>
          <w:rFonts w:ascii="Garamond" w:hAnsi="Garamond" w:cs="Times New Roman"/>
          <w:sz w:val="24"/>
          <w:szCs w:val="24"/>
        </w:rPr>
        <w:t>Beyond their importance for democratic theory, w</w:t>
      </w:r>
      <w:r w:rsidR="00B26519" w:rsidRPr="005756A6">
        <w:rPr>
          <w:rFonts w:ascii="Garamond" w:hAnsi="Garamond" w:cs="Times New Roman"/>
          <w:sz w:val="24"/>
          <w:szCs w:val="24"/>
        </w:rPr>
        <w:t>e are also fascinated with campaigns</w:t>
      </w:r>
      <w:r w:rsidR="00F8477D" w:rsidRPr="005756A6">
        <w:rPr>
          <w:rFonts w:ascii="Garamond" w:hAnsi="Garamond" w:cs="Times New Roman"/>
          <w:sz w:val="24"/>
          <w:szCs w:val="24"/>
        </w:rPr>
        <w:t xml:space="preserve"> because of the time, energy, and money they consume. Are they really worth the effort we invest in them? Indeed, the disbelieving reaction of practitioners and pundits to findings of “minimal effects” on the par</w:t>
      </w:r>
      <w:r w:rsidR="0077133D" w:rsidRPr="005756A6">
        <w:rPr>
          <w:rFonts w:ascii="Garamond" w:hAnsi="Garamond" w:cs="Times New Roman"/>
          <w:sz w:val="24"/>
          <w:szCs w:val="24"/>
        </w:rPr>
        <w:t>t of some campaign scholars is no doubt caused by the assumption that smart, rational people could not possibly spend so much for so little effect.</w:t>
      </w:r>
      <w:r w:rsidR="00B26519" w:rsidRPr="005756A6">
        <w:rPr>
          <w:rFonts w:ascii="Garamond" w:hAnsi="Garamond" w:cs="Times New Roman"/>
          <w:sz w:val="24"/>
          <w:szCs w:val="24"/>
        </w:rPr>
        <w:t xml:space="preserve">  </w:t>
      </w:r>
      <w:r w:rsidR="00463D94" w:rsidRPr="005756A6">
        <w:rPr>
          <w:rFonts w:ascii="Garamond" w:hAnsi="Garamond" w:cs="Times New Roman"/>
          <w:sz w:val="24"/>
          <w:szCs w:val="24"/>
        </w:rPr>
        <w:t xml:space="preserve"> </w:t>
      </w:r>
    </w:p>
    <w:p w14:paraId="472370A5" w14:textId="0FE49B66" w:rsidR="00375C17" w:rsidRPr="005756A6" w:rsidRDefault="00375C17" w:rsidP="00114943">
      <w:pPr>
        <w:spacing w:after="0" w:line="480" w:lineRule="auto"/>
        <w:ind w:firstLine="360"/>
        <w:rPr>
          <w:rFonts w:ascii="Garamond" w:hAnsi="Garamond" w:cs="Times New Roman"/>
          <w:sz w:val="24"/>
          <w:szCs w:val="24"/>
        </w:rPr>
      </w:pPr>
      <w:r w:rsidRPr="005756A6">
        <w:rPr>
          <w:rFonts w:ascii="Garamond" w:hAnsi="Garamond" w:cs="Times New Roman"/>
          <w:sz w:val="24"/>
          <w:szCs w:val="24"/>
        </w:rPr>
        <w:t>Against this backd</w:t>
      </w:r>
      <w:r w:rsidR="00011E3D" w:rsidRPr="005756A6">
        <w:rPr>
          <w:rFonts w:ascii="Garamond" w:hAnsi="Garamond" w:cs="Times New Roman"/>
          <w:sz w:val="24"/>
          <w:szCs w:val="24"/>
        </w:rPr>
        <w:t xml:space="preserve">rop, </w:t>
      </w:r>
      <w:r w:rsidR="009C2FD4" w:rsidRPr="005756A6">
        <w:rPr>
          <w:rFonts w:ascii="Garamond" w:hAnsi="Garamond" w:cs="Times New Roman"/>
          <w:sz w:val="24"/>
          <w:szCs w:val="24"/>
        </w:rPr>
        <w:t xml:space="preserve">we want to know if campaigns successfully persuade </w:t>
      </w:r>
      <w:r w:rsidR="00C776B0">
        <w:rPr>
          <w:rFonts w:ascii="Garamond" w:hAnsi="Garamond" w:cs="Times New Roman"/>
          <w:sz w:val="24"/>
          <w:szCs w:val="24"/>
        </w:rPr>
        <w:t xml:space="preserve">and mobilize </w:t>
      </w:r>
      <w:r w:rsidR="009C2FD4" w:rsidRPr="005756A6">
        <w:rPr>
          <w:rFonts w:ascii="Garamond" w:hAnsi="Garamond" w:cs="Times New Roman"/>
          <w:sz w:val="24"/>
          <w:szCs w:val="24"/>
        </w:rPr>
        <w:t xml:space="preserve">voters. </w:t>
      </w:r>
      <w:r w:rsidR="007C3C96" w:rsidRPr="005756A6">
        <w:rPr>
          <w:rFonts w:ascii="Garamond" w:hAnsi="Garamond" w:cs="Times New Roman"/>
          <w:sz w:val="24"/>
          <w:szCs w:val="24"/>
        </w:rPr>
        <w:t xml:space="preserve">To engage this question, </w:t>
      </w:r>
      <w:r w:rsidR="00011E3D" w:rsidRPr="005756A6">
        <w:rPr>
          <w:rFonts w:ascii="Garamond" w:hAnsi="Garamond" w:cs="Times New Roman"/>
          <w:sz w:val="24"/>
          <w:szCs w:val="24"/>
        </w:rPr>
        <w:t>the primary goals of this study</w:t>
      </w:r>
      <w:r w:rsidRPr="005756A6">
        <w:rPr>
          <w:rFonts w:ascii="Garamond" w:hAnsi="Garamond" w:cs="Times New Roman"/>
          <w:sz w:val="24"/>
          <w:szCs w:val="24"/>
        </w:rPr>
        <w:t xml:space="preserve"> are: (1) </w:t>
      </w:r>
      <w:r w:rsidR="00A0290F" w:rsidRPr="005756A6">
        <w:rPr>
          <w:rFonts w:ascii="Garamond" w:hAnsi="Garamond" w:cs="Times New Roman"/>
          <w:sz w:val="24"/>
          <w:szCs w:val="24"/>
        </w:rPr>
        <w:t xml:space="preserve">to gauge the </w:t>
      </w:r>
      <w:r w:rsidR="005F5E87" w:rsidRPr="005756A6">
        <w:rPr>
          <w:rFonts w:ascii="Garamond" w:hAnsi="Garamond" w:cs="Times New Roman"/>
          <w:sz w:val="24"/>
          <w:szCs w:val="24"/>
        </w:rPr>
        <w:t xml:space="preserve">distinct and </w:t>
      </w:r>
      <w:r w:rsidR="00A0290F" w:rsidRPr="005756A6">
        <w:rPr>
          <w:rFonts w:ascii="Garamond" w:hAnsi="Garamond" w:cs="Times New Roman"/>
          <w:sz w:val="24"/>
          <w:szCs w:val="24"/>
        </w:rPr>
        <w:t xml:space="preserve">synergistic effects of different forms of campaigning, </w:t>
      </w:r>
      <w:r w:rsidRPr="005756A6">
        <w:rPr>
          <w:rFonts w:ascii="Garamond" w:hAnsi="Garamond" w:cs="Times New Roman"/>
          <w:sz w:val="24"/>
          <w:szCs w:val="24"/>
        </w:rPr>
        <w:t xml:space="preserve">as designed and executed by real-life practitioners, </w:t>
      </w:r>
      <w:r w:rsidR="00FB6D11" w:rsidRPr="005756A6">
        <w:rPr>
          <w:rFonts w:ascii="Garamond" w:hAnsi="Garamond" w:cs="Times New Roman"/>
          <w:sz w:val="24"/>
          <w:szCs w:val="24"/>
        </w:rPr>
        <w:t>and (</w:t>
      </w:r>
      <w:r w:rsidR="005F5E87" w:rsidRPr="005756A6">
        <w:rPr>
          <w:rFonts w:ascii="Garamond" w:hAnsi="Garamond" w:cs="Times New Roman"/>
          <w:sz w:val="24"/>
          <w:szCs w:val="24"/>
        </w:rPr>
        <w:t>2</w:t>
      </w:r>
      <w:r w:rsidR="00FB6D11" w:rsidRPr="005756A6">
        <w:rPr>
          <w:rFonts w:ascii="Garamond" w:hAnsi="Garamond" w:cs="Times New Roman"/>
          <w:sz w:val="24"/>
          <w:szCs w:val="24"/>
        </w:rPr>
        <w:t>) to estimate the cumulative effects of a campaign</w:t>
      </w:r>
      <w:r w:rsidRPr="005756A6">
        <w:rPr>
          <w:rFonts w:ascii="Garamond" w:hAnsi="Garamond" w:cs="Times New Roman"/>
          <w:sz w:val="24"/>
          <w:szCs w:val="24"/>
        </w:rPr>
        <w:t xml:space="preserve">. To </w:t>
      </w:r>
      <w:r w:rsidR="00A0290F" w:rsidRPr="005756A6">
        <w:rPr>
          <w:rFonts w:ascii="Garamond" w:hAnsi="Garamond" w:cs="Times New Roman"/>
          <w:sz w:val="24"/>
          <w:szCs w:val="24"/>
        </w:rPr>
        <w:t>attain</w:t>
      </w:r>
      <w:r w:rsidRPr="005756A6">
        <w:rPr>
          <w:rFonts w:ascii="Garamond" w:hAnsi="Garamond" w:cs="Times New Roman"/>
          <w:sz w:val="24"/>
          <w:szCs w:val="24"/>
        </w:rPr>
        <w:t xml:space="preserve"> these goals, </w:t>
      </w:r>
      <w:r w:rsidR="002268F9" w:rsidRPr="005756A6">
        <w:rPr>
          <w:rFonts w:ascii="Garamond" w:hAnsi="Garamond" w:cs="Times New Roman"/>
          <w:sz w:val="24"/>
          <w:szCs w:val="24"/>
        </w:rPr>
        <w:t xml:space="preserve">we </w:t>
      </w:r>
      <w:r w:rsidRPr="005756A6">
        <w:rPr>
          <w:rFonts w:ascii="Garamond" w:hAnsi="Garamond" w:cs="Times New Roman"/>
          <w:sz w:val="24"/>
          <w:szCs w:val="24"/>
        </w:rPr>
        <w:t xml:space="preserve">rely on a field experiment </w:t>
      </w:r>
      <w:r w:rsidRPr="005756A6">
        <w:rPr>
          <w:rFonts w:ascii="Garamond" w:hAnsi="Garamond" w:cs="Times New Roman"/>
          <w:sz w:val="24"/>
          <w:szCs w:val="24"/>
        </w:rPr>
        <w:lastRenderedPageBreak/>
        <w:t>testing t</w:t>
      </w:r>
      <w:r w:rsidR="00AA4DF0" w:rsidRPr="005756A6">
        <w:rPr>
          <w:rFonts w:ascii="Garamond" w:hAnsi="Garamond" w:cs="Times New Roman"/>
          <w:sz w:val="24"/>
          <w:szCs w:val="24"/>
        </w:rPr>
        <w:t xml:space="preserve">he </w:t>
      </w:r>
      <w:r w:rsidR="009628D5" w:rsidRPr="005756A6">
        <w:rPr>
          <w:rFonts w:ascii="Garamond" w:hAnsi="Garamond" w:cs="Times New Roman"/>
          <w:sz w:val="24"/>
          <w:szCs w:val="24"/>
        </w:rPr>
        <w:t xml:space="preserve">simultaneous </w:t>
      </w:r>
      <w:r w:rsidR="00AA4DF0" w:rsidRPr="005756A6">
        <w:rPr>
          <w:rFonts w:ascii="Garamond" w:hAnsi="Garamond" w:cs="Times New Roman"/>
          <w:sz w:val="24"/>
          <w:szCs w:val="24"/>
        </w:rPr>
        <w:t xml:space="preserve">effects of several distinct forms of campaign communication in a statewide, partisan campaign for governor of Texas. </w:t>
      </w:r>
    </w:p>
    <w:p w14:paraId="429C5BF0" w14:textId="77777777" w:rsidR="005756A6" w:rsidRDefault="005756A6" w:rsidP="00FC117D">
      <w:pPr>
        <w:spacing w:after="0" w:line="480" w:lineRule="auto"/>
        <w:rPr>
          <w:rFonts w:ascii="Garamond" w:hAnsi="Garamond" w:cs="Times New Roman"/>
          <w:b/>
          <w:sz w:val="24"/>
          <w:szCs w:val="24"/>
        </w:rPr>
      </w:pPr>
    </w:p>
    <w:p w14:paraId="3DFE1227" w14:textId="015C079A" w:rsidR="00FC117D" w:rsidRPr="005756A6" w:rsidRDefault="00FC117D" w:rsidP="00FC117D">
      <w:pPr>
        <w:spacing w:after="0" w:line="480" w:lineRule="auto"/>
        <w:rPr>
          <w:rFonts w:ascii="Garamond" w:hAnsi="Garamond" w:cs="Times New Roman"/>
          <w:b/>
          <w:sz w:val="24"/>
          <w:szCs w:val="24"/>
        </w:rPr>
      </w:pPr>
      <w:r w:rsidRPr="005756A6">
        <w:rPr>
          <w:rFonts w:ascii="Garamond" w:hAnsi="Garamond" w:cs="Times New Roman"/>
          <w:b/>
          <w:sz w:val="24"/>
          <w:szCs w:val="24"/>
        </w:rPr>
        <w:t xml:space="preserve">Theorizing about </w:t>
      </w:r>
      <w:r w:rsidR="001259B4" w:rsidRPr="005756A6">
        <w:rPr>
          <w:rFonts w:ascii="Garamond" w:hAnsi="Garamond" w:cs="Times New Roman"/>
          <w:b/>
          <w:sz w:val="24"/>
          <w:szCs w:val="24"/>
        </w:rPr>
        <w:t>Campaign Effects</w:t>
      </w:r>
      <w:r w:rsidR="00EE7993" w:rsidRPr="005756A6">
        <w:rPr>
          <w:rFonts w:ascii="Garamond" w:hAnsi="Garamond" w:cs="Times New Roman"/>
          <w:b/>
          <w:sz w:val="24"/>
          <w:szCs w:val="24"/>
        </w:rPr>
        <w:t xml:space="preserve"> </w:t>
      </w:r>
    </w:p>
    <w:p w14:paraId="25459388" w14:textId="1CCC8B6C" w:rsidR="00592876" w:rsidRPr="005756A6" w:rsidRDefault="00011E3D" w:rsidP="00FC117D">
      <w:pPr>
        <w:spacing w:after="0" w:line="480" w:lineRule="auto"/>
        <w:rPr>
          <w:rFonts w:ascii="Garamond" w:hAnsi="Garamond" w:cs="Times New Roman"/>
          <w:sz w:val="24"/>
          <w:szCs w:val="24"/>
          <w:u w:val="single"/>
        </w:rPr>
      </w:pPr>
      <w:r w:rsidRPr="005756A6">
        <w:rPr>
          <w:rFonts w:ascii="Garamond" w:hAnsi="Garamond" w:cs="Times New Roman"/>
          <w:sz w:val="24"/>
          <w:szCs w:val="24"/>
          <w:u w:val="single"/>
        </w:rPr>
        <w:t>Modes Matter</w:t>
      </w:r>
    </w:p>
    <w:p w14:paraId="05970327" w14:textId="53C2064B" w:rsidR="00A0290F" w:rsidRPr="005756A6" w:rsidRDefault="00FC117D" w:rsidP="00FC117D">
      <w:pPr>
        <w:spacing w:after="0" w:line="480" w:lineRule="auto"/>
        <w:ind w:firstLine="720"/>
        <w:rPr>
          <w:rFonts w:ascii="Garamond" w:hAnsi="Garamond" w:cs="Times New Roman"/>
          <w:sz w:val="24"/>
          <w:szCs w:val="24"/>
        </w:rPr>
      </w:pPr>
      <w:r w:rsidRPr="005756A6">
        <w:rPr>
          <w:rFonts w:ascii="Garamond" w:hAnsi="Garamond" w:cs="Times New Roman"/>
          <w:sz w:val="24"/>
          <w:szCs w:val="24"/>
        </w:rPr>
        <w:t xml:space="preserve">When considering the impact of electioneering, we think it most instructive to </w:t>
      </w:r>
      <w:r w:rsidR="00EE7993" w:rsidRPr="005756A6">
        <w:rPr>
          <w:rFonts w:ascii="Garamond" w:hAnsi="Garamond" w:cs="Times New Roman"/>
          <w:sz w:val="24"/>
          <w:szCs w:val="24"/>
        </w:rPr>
        <w:t xml:space="preserve">focus </w:t>
      </w:r>
      <w:r w:rsidR="00A0290F" w:rsidRPr="005756A6">
        <w:rPr>
          <w:rFonts w:ascii="Garamond" w:hAnsi="Garamond" w:cs="Times New Roman"/>
          <w:sz w:val="24"/>
          <w:szCs w:val="24"/>
        </w:rPr>
        <w:t xml:space="preserve">on the </w:t>
      </w:r>
      <w:r w:rsidR="00FB6D11" w:rsidRPr="005756A6">
        <w:rPr>
          <w:rFonts w:ascii="Garamond" w:hAnsi="Garamond" w:cs="Times New Roman"/>
          <w:sz w:val="24"/>
          <w:szCs w:val="24"/>
        </w:rPr>
        <w:t xml:space="preserve">“mode” </w:t>
      </w:r>
      <w:r w:rsidR="00A0290F" w:rsidRPr="005756A6">
        <w:rPr>
          <w:rFonts w:ascii="Garamond" w:hAnsi="Garamond" w:cs="Times New Roman"/>
          <w:sz w:val="24"/>
          <w:szCs w:val="24"/>
        </w:rPr>
        <w:t>of outreach</w:t>
      </w:r>
      <w:r w:rsidR="00FB6D11" w:rsidRPr="005756A6">
        <w:rPr>
          <w:rFonts w:ascii="Garamond" w:hAnsi="Garamond" w:cs="Times New Roman"/>
          <w:sz w:val="24"/>
          <w:szCs w:val="24"/>
        </w:rPr>
        <w:t>.</w:t>
      </w:r>
      <w:r w:rsidR="00A0290F" w:rsidRPr="005756A6">
        <w:rPr>
          <w:rFonts w:ascii="Garamond" w:hAnsi="Garamond" w:cs="Times New Roman"/>
          <w:sz w:val="24"/>
          <w:szCs w:val="24"/>
        </w:rPr>
        <w:t xml:space="preserve"> </w:t>
      </w:r>
      <w:r w:rsidR="003D2D7D" w:rsidRPr="005756A6">
        <w:rPr>
          <w:rFonts w:ascii="Garamond" w:hAnsi="Garamond" w:cs="Times New Roman"/>
          <w:sz w:val="24"/>
          <w:szCs w:val="24"/>
        </w:rPr>
        <w:t>Campaign m</w:t>
      </w:r>
      <w:r w:rsidR="00A0290F" w:rsidRPr="005756A6">
        <w:rPr>
          <w:rFonts w:ascii="Garamond" w:hAnsi="Garamond" w:cs="Times New Roman"/>
          <w:sz w:val="24"/>
          <w:szCs w:val="24"/>
        </w:rPr>
        <w:t xml:space="preserve">odes vary </w:t>
      </w:r>
      <w:r w:rsidR="003D2D7D" w:rsidRPr="005756A6">
        <w:rPr>
          <w:rFonts w:ascii="Garamond" w:hAnsi="Garamond" w:cs="Times New Roman"/>
          <w:sz w:val="24"/>
          <w:szCs w:val="24"/>
        </w:rPr>
        <w:t>on</w:t>
      </w:r>
      <w:r w:rsidR="00A0290F" w:rsidRPr="005756A6">
        <w:rPr>
          <w:rFonts w:ascii="Garamond" w:hAnsi="Garamond" w:cs="Times New Roman"/>
          <w:sz w:val="24"/>
          <w:szCs w:val="24"/>
        </w:rPr>
        <w:t xml:space="preserve"> two salient dimensions: </w:t>
      </w:r>
      <w:r w:rsidR="00A0290F" w:rsidRPr="005756A6">
        <w:rPr>
          <w:rFonts w:ascii="Garamond" w:hAnsi="Garamond" w:cs="Times New Roman"/>
          <w:i/>
          <w:sz w:val="24"/>
          <w:szCs w:val="24"/>
        </w:rPr>
        <w:t>frequency</w:t>
      </w:r>
      <w:r w:rsidR="00A0290F" w:rsidRPr="005756A6">
        <w:rPr>
          <w:rFonts w:ascii="Garamond" w:hAnsi="Garamond" w:cs="Times New Roman"/>
          <w:sz w:val="24"/>
          <w:szCs w:val="24"/>
        </w:rPr>
        <w:t xml:space="preserve"> and </w:t>
      </w:r>
      <w:r w:rsidR="00A0290F" w:rsidRPr="005756A6">
        <w:rPr>
          <w:rFonts w:ascii="Garamond" w:hAnsi="Garamond" w:cs="Times New Roman"/>
          <w:i/>
          <w:sz w:val="24"/>
          <w:szCs w:val="24"/>
        </w:rPr>
        <w:t>targeting precision</w:t>
      </w:r>
      <w:r w:rsidR="00A0290F" w:rsidRPr="005756A6">
        <w:rPr>
          <w:rFonts w:ascii="Garamond" w:hAnsi="Garamond" w:cs="Times New Roman"/>
          <w:sz w:val="24"/>
          <w:szCs w:val="24"/>
        </w:rPr>
        <w:t xml:space="preserve">.  Frequency refers to the number of times that an individual voter is exposed to a campaign message. Targeting precision refers to the match between the campaign message and the attitudes of the individual voters. Campaign effects are most likely when </w:t>
      </w:r>
      <w:r w:rsidR="002F1BFD" w:rsidRPr="005756A6">
        <w:rPr>
          <w:rFonts w:ascii="Garamond" w:hAnsi="Garamond" w:cs="Times New Roman"/>
          <w:sz w:val="24"/>
          <w:szCs w:val="24"/>
        </w:rPr>
        <w:t xml:space="preserve">receptive </w:t>
      </w:r>
      <w:r w:rsidR="00A0290F" w:rsidRPr="005756A6">
        <w:rPr>
          <w:rFonts w:ascii="Garamond" w:hAnsi="Garamond" w:cs="Times New Roman"/>
          <w:sz w:val="24"/>
          <w:szCs w:val="24"/>
        </w:rPr>
        <w:t>voters</w:t>
      </w:r>
      <w:r w:rsidR="002F1BFD" w:rsidRPr="005756A6">
        <w:rPr>
          <w:rFonts w:ascii="Garamond" w:hAnsi="Garamond" w:cs="Times New Roman"/>
          <w:sz w:val="24"/>
          <w:szCs w:val="24"/>
        </w:rPr>
        <w:t xml:space="preserve"> are</w:t>
      </w:r>
      <w:r w:rsidR="00A0290F" w:rsidRPr="005756A6">
        <w:rPr>
          <w:rFonts w:ascii="Garamond" w:hAnsi="Garamond" w:cs="Times New Roman"/>
          <w:sz w:val="24"/>
          <w:szCs w:val="24"/>
        </w:rPr>
        <w:t xml:space="preserve"> repeatedly </w:t>
      </w:r>
      <w:r w:rsidR="002F1BFD" w:rsidRPr="005756A6">
        <w:rPr>
          <w:rFonts w:ascii="Garamond" w:hAnsi="Garamond" w:cs="Times New Roman"/>
          <w:sz w:val="24"/>
          <w:szCs w:val="24"/>
        </w:rPr>
        <w:t>exposed to p</w:t>
      </w:r>
      <w:r w:rsidR="00A0290F" w:rsidRPr="005756A6">
        <w:rPr>
          <w:rFonts w:ascii="Garamond" w:hAnsi="Garamond" w:cs="Times New Roman"/>
          <w:sz w:val="24"/>
          <w:szCs w:val="24"/>
        </w:rPr>
        <w:t xml:space="preserve">ersuasive messages. </w:t>
      </w:r>
    </w:p>
    <w:p w14:paraId="2C1C9D6D" w14:textId="724E5F52" w:rsidR="009448F2" w:rsidRDefault="00A0290F" w:rsidP="00A0290F">
      <w:pPr>
        <w:spacing w:after="0" w:line="480" w:lineRule="auto"/>
        <w:ind w:firstLine="720"/>
        <w:rPr>
          <w:rFonts w:ascii="Garamond" w:hAnsi="Garamond" w:cs="Times New Roman"/>
          <w:sz w:val="24"/>
          <w:szCs w:val="24"/>
        </w:rPr>
      </w:pPr>
      <w:r w:rsidRPr="005756A6">
        <w:rPr>
          <w:rFonts w:ascii="Garamond" w:hAnsi="Garamond" w:cs="Times New Roman"/>
          <w:sz w:val="24"/>
          <w:szCs w:val="24"/>
        </w:rPr>
        <w:t xml:space="preserve">Unfortunately for most practitioners, campaign modes that offer the greatest potential </w:t>
      </w:r>
      <w:r w:rsidR="00FB6D11" w:rsidRPr="005756A6">
        <w:rPr>
          <w:rFonts w:ascii="Garamond" w:hAnsi="Garamond" w:cs="Times New Roman"/>
          <w:sz w:val="24"/>
          <w:szCs w:val="24"/>
        </w:rPr>
        <w:t xml:space="preserve">with respect to frequency and </w:t>
      </w:r>
      <w:r w:rsidRPr="005756A6">
        <w:rPr>
          <w:rFonts w:ascii="Garamond" w:hAnsi="Garamond" w:cs="Times New Roman"/>
          <w:sz w:val="24"/>
          <w:szCs w:val="24"/>
        </w:rPr>
        <w:t xml:space="preserve">repetition (television and radio) are also broadcast to many unreceptive voters.  </w:t>
      </w:r>
      <w:r w:rsidR="003D2D7D" w:rsidRPr="005756A6">
        <w:rPr>
          <w:rFonts w:ascii="Garamond" w:hAnsi="Garamond" w:cs="Times New Roman"/>
          <w:sz w:val="24"/>
          <w:szCs w:val="24"/>
        </w:rPr>
        <w:t>Conversely</w:t>
      </w:r>
      <w:r w:rsidRPr="005756A6">
        <w:rPr>
          <w:rFonts w:ascii="Garamond" w:hAnsi="Garamond" w:cs="Times New Roman"/>
          <w:sz w:val="24"/>
          <w:szCs w:val="24"/>
        </w:rPr>
        <w:t xml:space="preserve">, campaign modes that offer the greatest potential for precise and personal targeting (digital, mail, phones, and face-to-face) are </w:t>
      </w:r>
      <w:r w:rsidR="003D2D7D" w:rsidRPr="005756A6">
        <w:rPr>
          <w:rFonts w:ascii="Garamond" w:hAnsi="Garamond" w:cs="Times New Roman"/>
          <w:sz w:val="24"/>
          <w:szCs w:val="24"/>
        </w:rPr>
        <w:t xml:space="preserve">the </w:t>
      </w:r>
      <w:r w:rsidR="00FB6D11" w:rsidRPr="005756A6">
        <w:rPr>
          <w:rFonts w:ascii="Garamond" w:hAnsi="Garamond" w:cs="Times New Roman"/>
          <w:sz w:val="24"/>
          <w:szCs w:val="24"/>
        </w:rPr>
        <w:t xml:space="preserve">most easily </w:t>
      </w:r>
      <w:r w:rsidRPr="005756A6">
        <w:rPr>
          <w:rFonts w:ascii="Garamond" w:hAnsi="Garamond" w:cs="Times New Roman"/>
          <w:sz w:val="24"/>
          <w:szCs w:val="24"/>
        </w:rPr>
        <w:t>discard</w:t>
      </w:r>
      <w:r w:rsidR="00FB6D11" w:rsidRPr="005756A6">
        <w:rPr>
          <w:rFonts w:ascii="Garamond" w:hAnsi="Garamond" w:cs="Times New Roman"/>
          <w:sz w:val="24"/>
          <w:szCs w:val="24"/>
        </w:rPr>
        <w:t>ed</w:t>
      </w:r>
      <w:r w:rsidRPr="005756A6">
        <w:rPr>
          <w:rFonts w:ascii="Garamond" w:hAnsi="Garamond" w:cs="Times New Roman"/>
          <w:sz w:val="24"/>
          <w:szCs w:val="24"/>
        </w:rPr>
        <w:t>, block</w:t>
      </w:r>
      <w:r w:rsidR="00FB6D11" w:rsidRPr="005756A6">
        <w:rPr>
          <w:rFonts w:ascii="Garamond" w:hAnsi="Garamond" w:cs="Times New Roman"/>
          <w:sz w:val="24"/>
          <w:szCs w:val="24"/>
        </w:rPr>
        <w:t>ed</w:t>
      </w:r>
      <w:r w:rsidRPr="005756A6">
        <w:rPr>
          <w:rFonts w:ascii="Garamond" w:hAnsi="Garamond" w:cs="Times New Roman"/>
          <w:sz w:val="24"/>
          <w:szCs w:val="24"/>
        </w:rPr>
        <w:t>, or refuse</w:t>
      </w:r>
      <w:r w:rsidR="00FB6D11" w:rsidRPr="005756A6">
        <w:rPr>
          <w:rFonts w:ascii="Garamond" w:hAnsi="Garamond" w:cs="Times New Roman"/>
          <w:sz w:val="24"/>
          <w:szCs w:val="24"/>
        </w:rPr>
        <w:t>d by voters</w:t>
      </w:r>
      <w:r w:rsidRPr="005756A6">
        <w:rPr>
          <w:rFonts w:ascii="Garamond" w:hAnsi="Garamond" w:cs="Times New Roman"/>
          <w:sz w:val="24"/>
          <w:szCs w:val="24"/>
        </w:rPr>
        <w:t xml:space="preserve">. This conundrum is </w:t>
      </w:r>
      <w:r w:rsidR="002F1BFD" w:rsidRPr="005756A6">
        <w:rPr>
          <w:rFonts w:ascii="Garamond" w:hAnsi="Garamond" w:cs="Times New Roman"/>
          <w:sz w:val="24"/>
          <w:szCs w:val="24"/>
        </w:rPr>
        <w:t xml:space="preserve">borne out </w:t>
      </w:r>
      <w:r w:rsidRPr="005756A6">
        <w:rPr>
          <w:rFonts w:ascii="Garamond" w:hAnsi="Garamond" w:cs="Times New Roman"/>
          <w:sz w:val="24"/>
          <w:szCs w:val="24"/>
        </w:rPr>
        <w:t xml:space="preserve">by </w:t>
      </w:r>
      <w:r w:rsidR="001143DF" w:rsidRPr="005756A6">
        <w:rPr>
          <w:rFonts w:ascii="Garamond" w:hAnsi="Garamond" w:cs="Times New Roman"/>
          <w:sz w:val="24"/>
          <w:szCs w:val="24"/>
        </w:rPr>
        <w:t>empirical analyses</w:t>
      </w:r>
      <w:r w:rsidRPr="005756A6">
        <w:rPr>
          <w:rFonts w:ascii="Garamond" w:hAnsi="Garamond" w:cs="Times New Roman"/>
          <w:sz w:val="24"/>
          <w:szCs w:val="24"/>
        </w:rPr>
        <w:t>, which show substantial but temporary effects for television advertising (Gerber et al., 201</w:t>
      </w:r>
      <w:r w:rsidR="005B223D">
        <w:rPr>
          <w:rFonts w:ascii="Garamond" w:hAnsi="Garamond" w:cs="Times New Roman"/>
          <w:sz w:val="24"/>
          <w:szCs w:val="24"/>
        </w:rPr>
        <w:t>0</w:t>
      </w:r>
      <w:r w:rsidRPr="005756A6">
        <w:rPr>
          <w:rFonts w:ascii="Garamond" w:hAnsi="Garamond" w:cs="Times New Roman"/>
          <w:sz w:val="24"/>
          <w:szCs w:val="24"/>
        </w:rPr>
        <w:t xml:space="preserve">) and small effects for digital, mail, and phones (Gerber and Green, 2004; Huber and Arceneaux, 2007).  </w:t>
      </w:r>
      <w:r w:rsidR="001143DF" w:rsidRPr="005756A6">
        <w:rPr>
          <w:rFonts w:ascii="Garamond" w:hAnsi="Garamond" w:cs="Times New Roman"/>
          <w:sz w:val="24"/>
          <w:szCs w:val="24"/>
        </w:rPr>
        <w:t>In light of all this</w:t>
      </w:r>
      <w:r w:rsidR="003D2D7D" w:rsidRPr="005756A6">
        <w:rPr>
          <w:rFonts w:ascii="Garamond" w:hAnsi="Garamond" w:cs="Times New Roman"/>
          <w:sz w:val="24"/>
          <w:szCs w:val="24"/>
        </w:rPr>
        <w:t xml:space="preserve">, we </w:t>
      </w:r>
      <w:r w:rsidR="002F1BFD" w:rsidRPr="005756A6">
        <w:rPr>
          <w:rFonts w:ascii="Garamond" w:hAnsi="Garamond" w:cs="Times New Roman"/>
          <w:sz w:val="24"/>
          <w:szCs w:val="24"/>
        </w:rPr>
        <w:t>assume that</w:t>
      </w:r>
      <w:r w:rsidR="001143DF" w:rsidRPr="005756A6">
        <w:rPr>
          <w:rFonts w:ascii="Garamond" w:hAnsi="Garamond" w:cs="Times New Roman"/>
          <w:sz w:val="24"/>
          <w:szCs w:val="24"/>
        </w:rPr>
        <w:t xml:space="preserve"> </w:t>
      </w:r>
      <w:r w:rsidR="004A22A9" w:rsidRPr="005756A6">
        <w:rPr>
          <w:rFonts w:ascii="Garamond" w:hAnsi="Garamond" w:cs="Times New Roman"/>
          <w:sz w:val="24"/>
          <w:szCs w:val="24"/>
        </w:rPr>
        <w:t xml:space="preserve">the </w:t>
      </w:r>
      <w:r w:rsidR="003D2D7D" w:rsidRPr="005756A6">
        <w:rPr>
          <w:rFonts w:ascii="Garamond" w:hAnsi="Garamond" w:cs="Times New Roman"/>
          <w:sz w:val="24"/>
          <w:szCs w:val="24"/>
        </w:rPr>
        <w:t xml:space="preserve">frequency and targeting precision </w:t>
      </w:r>
      <w:r w:rsidR="004A22A9" w:rsidRPr="005756A6">
        <w:rPr>
          <w:rFonts w:ascii="Garamond" w:hAnsi="Garamond" w:cs="Times New Roman"/>
          <w:sz w:val="24"/>
          <w:szCs w:val="24"/>
        </w:rPr>
        <w:t xml:space="preserve">of campaign modes </w:t>
      </w:r>
      <w:r w:rsidR="000636B1" w:rsidRPr="005756A6">
        <w:rPr>
          <w:rFonts w:ascii="Garamond" w:hAnsi="Garamond" w:cs="Times New Roman"/>
          <w:sz w:val="24"/>
          <w:szCs w:val="24"/>
        </w:rPr>
        <w:t xml:space="preserve">should </w:t>
      </w:r>
      <w:r w:rsidR="004A22A9" w:rsidRPr="005756A6">
        <w:rPr>
          <w:rFonts w:ascii="Garamond" w:hAnsi="Garamond" w:cs="Times New Roman"/>
          <w:sz w:val="24"/>
          <w:szCs w:val="24"/>
        </w:rPr>
        <w:t>condition their ability to influence voters as follows</w:t>
      </w:r>
      <w:r w:rsidR="001143DF" w:rsidRPr="005756A6">
        <w:rPr>
          <w:rFonts w:ascii="Garamond" w:hAnsi="Garamond" w:cs="Times New Roman"/>
          <w:sz w:val="24"/>
          <w:szCs w:val="24"/>
        </w:rPr>
        <w:t>:</w:t>
      </w:r>
    </w:p>
    <w:p w14:paraId="037FDA7D" w14:textId="77777777" w:rsidR="005756A6" w:rsidRPr="005756A6" w:rsidRDefault="005756A6" w:rsidP="00A0290F">
      <w:pPr>
        <w:spacing w:after="0" w:line="480" w:lineRule="auto"/>
        <w:ind w:firstLine="720"/>
        <w:rPr>
          <w:rFonts w:ascii="Garamond" w:hAnsi="Garamond" w:cs="Times New Roman"/>
          <w:sz w:val="24"/>
          <w:szCs w:val="24"/>
        </w:rPr>
      </w:pPr>
    </w:p>
    <w:tbl>
      <w:tblPr>
        <w:tblStyle w:val="GridTable1Light1"/>
        <w:tblW w:w="0" w:type="auto"/>
        <w:tblLook w:val="04A0" w:firstRow="1" w:lastRow="0" w:firstColumn="1" w:lastColumn="0" w:noHBand="0" w:noVBand="1"/>
      </w:tblPr>
      <w:tblGrid>
        <w:gridCol w:w="2425"/>
        <w:gridCol w:w="4050"/>
        <w:gridCol w:w="2875"/>
      </w:tblGrid>
      <w:tr w:rsidR="00EC0874" w:rsidRPr="005756A6" w14:paraId="0C523736" w14:textId="77777777" w:rsidTr="00284B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5C650EB7" w14:textId="77777777" w:rsidR="009448F2" w:rsidRPr="005756A6" w:rsidRDefault="009448F2" w:rsidP="00C658A0">
            <w:pPr>
              <w:rPr>
                <w:rFonts w:ascii="Garamond" w:hAnsi="Garamond" w:cs="Times New Roman"/>
                <w:b w:val="0"/>
                <w:sz w:val="24"/>
                <w:szCs w:val="24"/>
              </w:rPr>
            </w:pPr>
          </w:p>
          <w:p w14:paraId="6C8D2576" w14:textId="77777777" w:rsidR="003D2D7D" w:rsidRPr="005756A6" w:rsidRDefault="003D2D7D" w:rsidP="00C658A0">
            <w:pPr>
              <w:rPr>
                <w:rFonts w:ascii="Garamond" w:hAnsi="Garamond" w:cs="Times New Roman"/>
                <w:b w:val="0"/>
                <w:sz w:val="24"/>
                <w:szCs w:val="24"/>
              </w:rPr>
            </w:pPr>
          </w:p>
        </w:tc>
        <w:tc>
          <w:tcPr>
            <w:tcW w:w="4050" w:type="dxa"/>
          </w:tcPr>
          <w:p w14:paraId="7DE30491" w14:textId="29783AF8" w:rsidR="00EC0874" w:rsidRPr="006D0A58" w:rsidRDefault="009448F2" w:rsidP="00C658A0">
            <w:pPr>
              <w:cnfStyle w:val="100000000000" w:firstRow="1" w:lastRow="0" w:firstColumn="0" w:lastColumn="0" w:oddVBand="0" w:evenVBand="0" w:oddHBand="0" w:evenHBand="0" w:firstRowFirstColumn="0" w:firstRowLastColumn="0" w:lastRowFirstColumn="0" w:lastRowLastColumn="0"/>
              <w:rPr>
                <w:rFonts w:ascii="Garamond" w:hAnsi="Garamond" w:cs="Times New Roman"/>
                <w:sz w:val="24"/>
                <w:szCs w:val="24"/>
              </w:rPr>
            </w:pPr>
            <w:r w:rsidRPr="006D0A58">
              <w:rPr>
                <w:rFonts w:ascii="Garamond" w:hAnsi="Garamond" w:cs="Times New Roman"/>
                <w:sz w:val="24"/>
                <w:szCs w:val="24"/>
              </w:rPr>
              <w:t>High Frequency/Reach</w:t>
            </w:r>
            <w:r w:rsidR="00EC0874" w:rsidRPr="006D0A58">
              <w:rPr>
                <w:rStyle w:val="FootnoteReference"/>
                <w:rFonts w:ascii="Garamond" w:hAnsi="Garamond" w:cs="Times New Roman"/>
                <w:sz w:val="24"/>
                <w:szCs w:val="24"/>
              </w:rPr>
              <w:footnoteReference w:id="1"/>
            </w:r>
          </w:p>
        </w:tc>
        <w:tc>
          <w:tcPr>
            <w:tcW w:w="2875" w:type="dxa"/>
          </w:tcPr>
          <w:p w14:paraId="093333AD" w14:textId="0A76EA2F" w:rsidR="00EC0874" w:rsidRPr="006D0A58" w:rsidRDefault="00EC0874" w:rsidP="00C658A0">
            <w:pPr>
              <w:cnfStyle w:val="100000000000" w:firstRow="1" w:lastRow="0" w:firstColumn="0" w:lastColumn="0" w:oddVBand="0" w:evenVBand="0" w:oddHBand="0" w:evenHBand="0" w:firstRowFirstColumn="0" w:firstRowLastColumn="0" w:lastRowFirstColumn="0" w:lastRowLastColumn="0"/>
              <w:rPr>
                <w:rFonts w:ascii="Garamond" w:hAnsi="Garamond" w:cs="Times New Roman"/>
                <w:sz w:val="24"/>
                <w:szCs w:val="24"/>
              </w:rPr>
            </w:pPr>
            <w:r w:rsidRPr="006D0A58">
              <w:rPr>
                <w:rFonts w:ascii="Garamond" w:hAnsi="Garamond" w:cs="Times New Roman"/>
                <w:sz w:val="24"/>
                <w:szCs w:val="24"/>
              </w:rPr>
              <w:t>Low Frequency/Reach</w:t>
            </w:r>
          </w:p>
        </w:tc>
      </w:tr>
      <w:tr w:rsidR="00EC0874" w:rsidRPr="005756A6" w14:paraId="164B28B1" w14:textId="77777777" w:rsidTr="00284B48">
        <w:tc>
          <w:tcPr>
            <w:cnfStyle w:val="001000000000" w:firstRow="0" w:lastRow="0" w:firstColumn="1" w:lastColumn="0" w:oddVBand="0" w:evenVBand="0" w:oddHBand="0" w:evenHBand="0" w:firstRowFirstColumn="0" w:firstRowLastColumn="0" w:lastRowFirstColumn="0" w:lastRowLastColumn="0"/>
            <w:tcW w:w="2425" w:type="dxa"/>
          </w:tcPr>
          <w:p w14:paraId="491CD168" w14:textId="0F02D29C" w:rsidR="00EC0874" w:rsidRPr="006D0A58" w:rsidRDefault="00EC0874" w:rsidP="00C658A0">
            <w:pPr>
              <w:rPr>
                <w:rFonts w:ascii="Garamond" w:hAnsi="Garamond" w:cs="Times New Roman"/>
                <w:sz w:val="24"/>
                <w:szCs w:val="24"/>
              </w:rPr>
            </w:pPr>
            <w:r w:rsidRPr="006D0A58">
              <w:rPr>
                <w:rFonts w:ascii="Garamond" w:hAnsi="Garamond" w:cs="Times New Roman"/>
                <w:sz w:val="24"/>
                <w:szCs w:val="24"/>
              </w:rPr>
              <w:t>Precise Targeting</w:t>
            </w:r>
          </w:p>
        </w:tc>
        <w:tc>
          <w:tcPr>
            <w:tcW w:w="4050" w:type="dxa"/>
          </w:tcPr>
          <w:p w14:paraId="719A64DC" w14:textId="4F463D71" w:rsidR="00EC0874" w:rsidRPr="005756A6" w:rsidRDefault="00EC0874" w:rsidP="00C658A0">
            <w:pPr>
              <w:cnfStyle w:val="000000000000" w:firstRow="0" w:lastRow="0" w:firstColumn="0" w:lastColumn="0" w:oddVBand="0" w:evenVBand="0" w:oddHBand="0" w:evenHBand="0" w:firstRowFirstColumn="0" w:firstRowLastColumn="0" w:lastRowFirstColumn="0" w:lastRowLastColumn="0"/>
              <w:rPr>
                <w:rFonts w:ascii="Garamond" w:hAnsi="Garamond" w:cs="Times New Roman"/>
                <w:sz w:val="24"/>
                <w:szCs w:val="24"/>
              </w:rPr>
            </w:pPr>
            <w:r w:rsidRPr="005756A6">
              <w:rPr>
                <w:rFonts w:ascii="Garamond" w:hAnsi="Garamond" w:cs="Times New Roman"/>
                <w:sz w:val="24"/>
                <w:szCs w:val="24"/>
              </w:rPr>
              <w:t>Highly significant aggregate effects.</w:t>
            </w:r>
          </w:p>
        </w:tc>
        <w:tc>
          <w:tcPr>
            <w:tcW w:w="2875" w:type="dxa"/>
          </w:tcPr>
          <w:p w14:paraId="4B1C4335" w14:textId="7D414519" w:rsidR="00EC0874" w:rsidRPr="005756A6" w:rsidRDefault="00EC0874" w:rsidP="00C658A0">
            <w:pPr>
              <w:cnfStyle w:val="000000000000" w:firstRow="0" w:lastRow="0" w:firstColumn="0" w:lastColumn="0" w:oddVBand="0" w:evenVBand="0" w:oddHBand="0" w:evenHBand="0" w:firstRowFirstColumn="0" w:firstRowLastColumn="0" w:lastRowFirstColumn="0" w:lastRowLastColumn="0"/>
              <w:rPr>
                <w:rFonts w:ascii="Garamond" w:hAnsi="Garamond" w:cs="Times New Roman"/>
                <w:sz w:val="24"/>
                <w:szCs w:val="24"/>
              </w:rPr>
            </w:pPr>
            <w:r w:rsidRPr="005756A6">
              <w:rPr>
                <w:rFonts w:ascii="Garamond" w:hAnsi="Garamond" w:cs="Times New Roman"/>
                <w:sz w:val="24"/>
                <w:szCs w:val="24"/>
              </w:rPr>
              <w:t>Minimal aggregate effects.</w:t>
            </w:r>
          </w:p>
        </w:tc>
      </w:tr>
      <w:tr w:rsidR="00EC0874" w:rsidRPr="005756A6" w14:paraId="64ACD4C3" w14:textId="77777777" w:rsidTr="00284B48">
        <w:tc>
          <w:tcPr>
            <w:cnfStyle w:val="001000000000" w:firstRow="0" w:lastRow="0" w:firstColumn="1" w:lastColumn="0" w:oddVBand="0" w:evenVBand="0" w:oddHBand="0" w:evenHBand="0" w:firstRowFirstColumn="0" w:firstRowLastColumn="0" w:lastRowFirstColumn="0" w:lastRowLastColumn="0"/>
            <w:tcW w:w="2425" w:type="dxa"/>
          </w:tcPr>
          <w:p w14:paraId="5C64B902" w14:textId="7A5673B9" w:rsidR="00EC0874" w:rsidRPr="006D0A58" w:rsidRDefault="00EC0874" w:rsidP="00C658A0">
            <w:pPr>
              <w:rPr>
                <w:rFonts w:ascii="Garamond" w:hAnsi="Garamond" w:cs="Times New Roman"/>
                <w:sz w:val="24"/>
                <w:szCs w:val="24"/>
              </w:rPr>
            </w:pPr>
            <w:r w:rsidRPr="006D0A58">
              <w:rPr>
                <w:rFonts w:ascii="Garamond" w:hAnsi="Garamond" w:cs="Times New Roman"/>
                <w:sz w:val="24"/>
                <w:szCs w:val="24"/>
              </w:rPr>
              <w:t>Imprecise Targeting</w:t>
            </w:r>
          </w:p>
        </w:tc>
        <w:tc>
          <w:tcPr>
            <w:tcW w:w="4050" w:type="dxa"/>
          </w:tcPr>
          <w:p w14:paraId="1F1A7019" w14:textId="54AFF470" w:rsidR="00EC0874" w:rsidRPr="005756A6" w:rsidRDefault="00EC0874" w:rsidP="00C658A0">
            <w:pPr>
              <w:cnfStyle w:val="000000000000" w:firstRow="0" w:lastRow="0" w:firstColumn="0" w:lastColumn="0" w:oddVBand="0" w:evenVBand="0" w:oddHBand="0" w:evenHBand="0" w:firstRowFirstColumn="0" w:firstRowLastColumn="0" w:lastRowFirstColumn="0" w:lastRowLastColumn="0"/>
              <w:rPr>
                <w:rFonts w:ascii="Garamond" w:hAnsi="Garamond" w:cs="Times New Roman"/>
                <w:sz w:val="24"/>
                <w:szCs w:val="24"/>
              </w:rPr>
            </w:pPr>
            <w:r w:rsidRPr="005756A6">
              <w:rPr>
                <w:rFonts w:ascii="Garamond" w:hAnsi="Garamond" w:cs="Times New Roman"/>
                <w:sz w:val="24"/>
                <w:szCs w:val="24"/>
              </w:rPr>
              <w:t>Significant, temporary aggregate effects.</w:t>
            </w:r>
          </w:p>
        </w:tc>
        <w:tc>
          <w:tcPr>
            <w:tcW w:w="2875" w:type="dxa"/>
          </w:tcPr>
          <w:p w14:paraId="544B37E9" w14:textId="4C04DD2C" w:rsidR="00EC0874" w:rsidRPr="005756A6" w:rsidRDefault="00EC0874" w:rsidP="00C658A0">
            <w:pPr>
              <w:cnfStyle w:val="000000000000" w:firstRow="0" w:lastRow="0" w:firstColumn="0" w:lastColumn="0" w:oddVBand="0" w:evenVBand="0" w:oddHBand="0" w:evenHBand="0" w:firstRowFirstColumn="0" w:firstRowLastColumn="0" w:lastRowFirstColumn="0" w:lastRowLastColumn="0"/>
              <w:rPr>
                <w:rFonts w:ascii="Garamond" w:hAnsi="Garamond" w:cs="Times New Roman"/>
                <w:sz w:val="24"/>
                <w:szCs w:val="24"/>
              </w:rPr>
            </w:pPr>
            <w:r w:rsidRPr="005756A6">
              <w:rPr>
                <w:rFonts w:ascii="Garamond" w:hAnsi="Garamond" w:cs="Times New Roman"/>
                <w:sz w:val="24"/>
                <w:szCs w:val="24"/>
              </w:rPr>
              <w:t>No aggregate effects.</w:t>
            </w:r>
          </w:p>
        </w:tc>
      </w:tr>
    </w:tbl>
    <w:p w14:paraId="0FF5B68F" w14:textId="77777777" w:rsidR="00EC0874" w:rsidRPr="005756A6" w:rsidRDefault="00EC0874" w:rsidP="00D242BA">
      <w:pPr>
        <w:spacing w:after="0" w:line="480" w:lineRule="auto"/>
        <w:rPr>
          <w:rFonts w:ascii="Garamond" w:hAnsi="Garamond" w:cs="Times New Roman"/>
          <w:sz w:val="24"/>
          <w:szCs w:val="24"/>
        </w:rPr>
      </w:pPr>
      <w:r w:rsidRPr="005756A6">
        <w:rPr>
          <w:rFonts w:ascii="Garamond" w:hAnsi="Garamond" w:cs="Times New Roman"/>
          <w:sz w:val="24"/>
          <w:szCs w:val="24"/>
        </w:rPr>
        <w:t xml:space="preserve"> </w:t>
      </w:r>
    </w:p>
    <w:p w14:paraId="2FBF42D7" w14:textId="08E49527" w:rsidR="00EC0874" w:rsidRPr="005756A6" w:rsidRDefault="00EC0874" w:rsidP="00D242BA">
      <w:pPr>
        <w:spacing w:after="0" w:line="480" w:lineRule="auto"/>
        <w:rPr>
          <w:rFonts w:ascii="Garamond" w:hAnsi="Garamond" w:cs="Times New Roman"/>
          <w:sz w:val="24"/>
          <w:szCs w:val="24"/>
          <w:u w:val="single"/>
        </w:rPr>
      </w:pPr>
      <w:r w:rsidRPr="005756A6">
        <w:rPr>
          <w:rFonts w:ascii="Garamond" w:hAnsi="Garamond" w:cs="Times New Roman"/>
          <w:sz w:val="24"/>
          <w:szCs w:val="24"/>
          <w:u w:val="single"/>
        </w:rPr>
        <w:t>Voter Receptivity Also Matters</w:t>
      </w:r>
    </w:p>
    <w:p w14:paraId="7C65CE39" w14:textId="7B3EF6B5" w:rsidR="00EC0874" w:rsidRPr="005756A6" w:rsidRDefault="00EC0874" w:rsidP="00896001">
      <w:pPr>
        <w:spacing w:after="0" w:line="480" w:lineRule="auto"/>
        <w:ind w:firstLine="720"/>
        <w:rPr>
          <w:rFonts w:ascii="Garamond" w:hAnsi="Garamond" w:cs="Times New Roman"/>
          <w:sz w:val="24"/>
          <w:szCs w:val="24"/>
        </w:rPr>
      </w:pPr>
      <w:r w:rsidRPr="005756A6">
        <w:rPr>
          <w:rFonts w:ascii="Garamond" w:hAnsi="Garamond" w:cs="Times New Roman"/>
          <w:sz w:val="24"/>
          <w:szCs w:val="24"/>
        </w:rPr>
        <w:t>Additional leverage can be gained on the question of aggregate campaign effects by considering voter (or “receiver”) characteristics.  Previous studies demonstrate that persuasive effects—and, consequently, campaign effects—are substantially conditioned by the attitudinal predispositions of the audience. Most notably, a voter’s level of political awareness and partisanship dictate whether or not a campaign message is likely to be persuasive. Political awareness, in particular, increases the likelihood of “reception” (Zaller, 1992), but it also leads to greater stores of information and thus lessens the likelihood that voters will “yield” to new information. High intensity election campaigns experienced by low awareness voters are therefore often regarded as the most likely to produce an impact (</w:t>
      </w:r>
      <w:r w:rsidR="004E1608">
        <w:rPr>
          <w:rFonts w:ascii="Garamond" w:hAnsi="Garamond" w:cs="Times New Roman"/>
          <w:sz w:val="24"/>
          <w:szCs w:val="24"/>
        </w:rPr>
        <w:t>e.g., R</w:t>
      </w:r>
      <w:r w:rsidRPr="005756A6">
        <w:rPr>
          <w:rFonts w:ascii="Garamond" w:hAnsi="Garamond" w:cs="Times New Roman"/>
          <w:sz w:val="24"/>
          <w:szCs w:val="24"/>
        </w:rPr>
        <w:t>idout and Franz, 2011).</w:t>
      </w:r>
      <w:r w:rsidRPr="005756A6">
        <w:rPr>
          <w:rStyle w:val="FootnoteReference"/>
          <w:rFonts w:ascii="Garamond" w:hAnsi="Garamond" w:cs="Times New Roman"/>
          <w:sz w:val="24"/>
          <w:szCs w:val="24"/>
        </w:rPr>
        <w:footnoteReference w:id="2"/>
      </w:r>
    </w:p>
    <w:p w14:paraId="7522F7B3" w14:textId="77777777" w:rsidR="00EC0874" w:rsidRPr="005756A6" w:rsidRDefault="00EC0874" w:rsidP="00D242BA">
      <w:pPr>
        <w:spacing w:after="0" w:line="480" w:lineRule="auto"/>
        <w:ind w:firstLine="720"/>
        <w:rPr>
          <w:rFonts w:ascii="Garamond" w:hAnsi="Garamond" w:cs="Times New Roman"/>
          <w:sz w:val="24"/>
          <w:szCs w:val="24"/>
        </w:rPr>
      </w:pPr>
      <w:r w:rsidRPr="005756A6">
        <w:rPr>
          <w:rFonts w:ascii="Garamond" w:hAnsi="Garamond" w:cs="Times New Roman"/>
          <w:sz w:val="24"/>
          <w:szCs w:val="24"/>
        </w:rPr>
        <w:t xml:space="preserve">In addition to political awareness, partisanship should moderate how voters react to campaign information. Independents, who lack a partisan filter that causes them to resist information coming from a certain source, should be most receptive to this information. Partisans, on the other hand, should be moved by information coming from their side, but will resist information coming from the other side. </w:t>
      </w:r>
    </w:p>
    <w:p w14:paraId="19FCC8C3" w14:textId="7E397428" w:rsidR="00EC0874" w:rsidRPr="005756A6" w:rsidRDefault="00EC0874" w:rsidP="00D242BA">
      <w:pPr>
        <w:spacing w:after="0" w:line="480" w:lineRule="auto"/>
        <w:ind w:firstLine="720"/>
        <w:rPr>
          <w:rFonts w:ascii="Garamond" w:hAnsi="Garamond" w:cs="Times New Roman"/>
          <w:sz w:val="24"/>
          <w:szCs w:val="24"/>
        </w:rPr>
      </w:pPr>
      <w:r w:rsidRPr="005756A6">
        <w:rPr>
          <w:rFonts w:ascii="Garamond" w:hAnsi="Garamond" w:cs="Times New Roman"/>
          <w:sz w:val="24"/>
          <w:szCs w:val="24"/>
        </w:rPr>
        <w:lastRenderedPageBreak/>
        <w:t xml:space="preserve">Interestingly, there is mixed evidence on these basic propositions. Some </w:t>
      </w:r>
      <w:r w:rsidR="009A44C4">
        <w:rPr>
          <w:rFonts w:ascii="Garamond" w:hAnsi="Garamond" w:cs="Times New Roman"/>
          <w:sz w:val="24"/>
          <w:szCs w:val="24"/>
        </w:rPr>
        <w:t xml:space="preserve">research </w:t>
      </w:r>
      <w:r w:rsidRPr="005756A6">
        <w:rPr>
          <w:rFonts w:ascii="Garamond" w:hAnsi="Garamond" w:cs="Times New Roman"/>
          <w:sz w:val="24"/>
          <w:szCs w:val="24"/>
        </w:rPr>
        <w:t>finds that independents are relatively unmoved by political advertising (Chang, 2003), while commitments are reinforced among partisans (Ansolabehere and Iyengar, 199</w:t>
      </w:r>
      <w:r w:rsidR="000D0681">
        <w:rPr>
          <w:rFonts w:ascii="Garamond" w:hAnsi="Garamond" w:cs="Times New Roman"/>
          <w:sz w:val="24"/>
          <w:szCs w:val="24"/>
        </w:rPr>
        <w:t>6</w:t>
      </w:r>
      <w:r w:rsidRPr="005756A6">
        <w:rPr>
          <w:rFonts w:ascii="Garamond" w:hAnsi="Garamond" w:cs="Times New Roman"/>
          <w:sz w:val="24"/>
          <w:szCs w:val="24"/>
        </w:rPr>
        <w:t xml:space="preserve">). Other research finds that independents are, in fact, far more responsive to political ads (Pfau, </w:t>
      </w:r>
      <w:r w:rsidR="009A44C4">
        <w:rPr>
          <w:rFonts w:ascii="Garamond" w:hAnsi="Garamond" w:cs="Times New Roman"/>
          <w:sz w:val="24"/>
          <w:szCs w:val="24"/>
        </w:rPr>
        <w:t>et al.</w:t>
      </w:r>
      <w:r w:rsidRPr="005756A6">
        <w:rPr>
          <w:rFonts w:ascii="Garamond" w:hAnsi="Garamond" w:cs="Times New Roman"/>
          <w:sz w:val="24"/>
          <w:szCs w:val="24"/>
        </w:rPr>
        <w:t xml:space="preserve"> 2002) and events (Hillygus and Jackman, 2003). </w:t>
      </w:r>
    </w:p>
    <w:p w14:paraId="0DEA2727" w14:textId="77777777" w:rsidR="00EC0874" w:rsidRPr="005756A6" w:rsidRDefault="00EC0874" w:rsidP="000636B1">
      <w:pPr>
        <w:spacing w:after="0" w:line="480" w:lineRule="auto"/>
        <w:rPr>
          <w:rFonts w:ascii="Garamond" w:hAnsi="Garamond" w:cs="Times New Roman"/>
          <w:sz w:val="24"/>
          <w:szCs w:val="24"/>
          <w:u w:val="single"/>
        </w:rPr>
      </w:pPr>
    </w:p>
    <w:p w14:paraId="30ABEE2A" w14:textId="3BC69B57" w:rsidR="00EC0874" w:rsidRPr="005756A6" w:rsidRDefault="00EC0874" w:rsidP="000636B1">
      <w:pPr>
        <w:spacing w:after="0" w:line="480" w:lineRule="auto"/>
        <w:rPr>
          <w:rFonts w:ascii="Garamond" w:hAnsi="Garamond" w:cs="Times New Roman"/>
          <w:sz w:val="24"/>
          <w:szCs w:val="24"/>
          <w:u w:val="single"/>
        </w:rPr>
      </w:pPr>
      <w:r w:rsidRPr="005756A6">
        <w:rPr>
          <w:rFonts w:ascii="Garamond" w:hAnsi="Garamond" w:cs="Times New Roman"/>
          <w:sz w:val="24"/>
          <w:szCs w:val="24"/>
          <w:u w:val="single"/>
        </w:rPr>
        <w:t>Both Campaigns and Voters are Evolving (in a Way that Matters for Campaign Effects)</w:t>
      </w:r>
    </w:p>
    <w:p w14:paraId="5528D698" w14:textId="17E0BBBB" w:rsidR="00EC0874" w:rsidRPr="005756A6" w:rsidRDefault="00EC0874" w:rsidP="00896001">
      <w:pPr>
        <w:spacing w:after="0" w:line="480" w:lineRule="auto"/>
        <w:ind w:firstLine="720"/>
        <w:rPr>
          <w:rFonts w:ascii="Garamond" w:hAnsi="Garamond" w:cs="Times New Roman"/>
          <w:sz w:val="24"/>
          <w:szCs w:val="24"/>
        </w:rPr>
      </w:pPr>
      <w:r w:rsidRPr="005756A6">
        <w:rPr>
          <w:rFonts w:ascii="Garamond" w:hAnsi="Garamond" w:cs="Times New Roman"/>
          <w:sz w:val="24"/>
          <w:szCs w:val="24"/>
        </w:rPr>
        <w:t xml:space="preserve">In recent years, campaigns have gotten better at identifying voters who are relatively more receptive to specific issue appeals (through large-N surveys and data analytics performed on registered voter lists) and campaign modes have been refined and expanded to improve their reach (through the proliferation of Internet access, as well as through the prevalence of cable and Internet television and satellite radio). Put simply, campaigns have improved tactically. This improvement has come as voters have polarized in their views of the two major parties (Iyengar and </w:t>
      </w:r>
      <w:r w:rsidR="00006463">
        <w:rPr>
          <w:rFonts w:ascii="Garamond" w:hAnsi="Garamond" w:cs="Times New Roman"/>
          <w:sz w:val="24"/>
          <w:szCs w:val="24"/>
        </w:rPr>
        <w:t>Westwood</w:t>
      </w:r>
      <w:r w:rsidRPr="005756A6">
        <w:rPr>
          <w:rFonts w:ascii="Garamond" w:hAnsi="Garamond" w:cs="Times New Roman"/>
          <w:sz w:val="24"/>
          <w:szCs w:val="24"/>
        </w:rPr>
        <w:t>, 201</w:t>
      </w:r>
      <w:r w:rsidR="00006463">
        <w:rPr>
          <w:rFonts w:ascii="Garamond" w:hAnsi="Garamond" w:cs="Times New Roman"/>
          <w:sz w:val="24"/>
          <w:szCs w:val="24"/>
        </w:rPr>
        <w:t>5</w:t>
      </w:r>
      <w:r w:rsidRPr="005756A6">
        <w:rPr>
          <w:rFonts w:ascii="Garamond" w:hAnsi="Garamond" w:cs="Times New Roman"/>
          <w:sz w:val="24"/>
          <w:szCs w:val="24"/>
        </w:rPr>
        <w:t xml:space="preserve">). These twin developments are consequential for our understanding of campaign effects: polarization should condition the receptiveness of voters to campaigning, with greater polarization increasing the chance that wide-spread yet targeted electioneering will effectively activate the latent partisan pre-dispositions of voters. </w:t>
      </w:r>
    </w:p>
    <w:p w14:paraId="2379678A" w14:textId="14A27AFD" w:rsidR="00EC0874" w:rsidRDefault="00EC0874" w:rsidP="00896001">
      <w:pPr>
        <w:spacing w:after="0" w:line="480" w:lineRule="auto"/>
        <w:ind w:firstLine="720"/>
        <w:rPr>
          <w:rFonts w:ascii="Garamond" w:hAnsi="Garamond" w:cs="Times New Roman"/>
          <w:sz w:val="24"/>
          <w:szCs w:val="24"/>
        </w:rPr>
      </w:pPr>
      <w:r w:rsidRPr="005756A6">
        <w:rPr>
          <w:rFonts w:ascii="Garamond" w:hAnsi="Garamond" w:cs="Times New Roman"/>
          <w:sz w:val="24"/>
          <w:szCs w:val="24"/>
        </w:rPr>
        <w:t xml:space="preserve">This expectation is represented by the upper left-hand quadrant of the table below, which shows how varying levels of voter polarization and varying levels of campaign efficacy create distinct expectations with respect to campaign effects. In such a highly polarized environment, electioneering with less reach or with less precise targeting should result in less substantial mobilization (see lower left-hand quadrant). Conversely, in a less polarized environment with wide-spread yet targeted electioneering, campaigns should have significant persuasive effects on this relatively independent, open-minded electorate (see upper right-hand quadrant).  </w:t>
      </w:r>
    </w:p>
    <w:tbl>
      <w:tblPr>
        <w:tblStyle w:val="GridTable1Light1"/>
        <w:tblW w:w="9355" w:type="dxa"/>
        <w:tblLook w:val="04A0" w:firstRow="1" w:lastRow="0" w:firstColumn="1" w:lastColumn="0" w:noHBand="0" w:noVBand="1"/>
      </w:tblPr>
      <w:tblGrid>
        <w:gridCol w:w="3078"/>
        <w:gridCol w:w="3330"/>
        <w:gridCol w:w="2947"/>
      </w:tblGrid>
      <w:tr w:rsidR="00EC0874" w:rsidRPr="005756A6" w14:paraId="584ACD22" w14:textId="77777777" w:rsidTr="00912501">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3078" w:type="dxa"/>
            <w:vMerge w:val="restart"/>
          </w:tcPr>
          <w:p w14:paraId="78CA4E5C" w14:textId="77777777" w:rsidR="00EC0874" w:rsidRPr="005756A6" w:rsidRDefault="00EC0874" w:rsidP="00566BB9">
            <w:pPr>
              <w:rPr>
                <w:rFonts w:ascii="Garamond" w:hAnsi="Garamond" w:cs="Times New Roman"/>
                <w:sz w:val="24"/>
                <w:szCs w:val="24"/>
              </w:rPr>
            </w:pPr>
          </w:p>
          <w:p w14:paraId="6EED9AD9" w14:textId="77777777" w:rsidR="00EC0874" w:rsidRPr="005756A6" w:rsidRDefault="00EC0874" w:rsidP="00566BB9">
            <w:pPr>
              <w:rPr>
                <w:rFonts w:ascii="Garamond" w:hAnsi="Garamond" w:cs="Times New Roman"/>
                <w:b w:val="0"/>
                <w:sz w:val="24"/>
                <w:szCs w:val="24"/>
              </w:rPr>
            </w:pPr>
          </w:p>
          <w:p w14:paraId="2C5A56D1" w14:textId="77777777" w:rsidR="00EC0874" w:rsidRPr="005756A6" w:rsidRDefault="00EC0874" w:rsidP="00566BB9">
            <w:pPr>
              <w:rPr>
                <w:rFonts w:ascii="Garamond" w:hAnsi="Garamond" w:cs="Times New Roman"/>
                <w:b w:val="0"/>
                <w:sz w:val="24"/>
                <w:szCs w:val="24"/>
              </w:rPr>
            </w:pPr>
          </w:p>
          <w:p w14:paraId="01DB1971" w14:textId="042D1D28" w:rsidR="00EC0874" w:rsidRPr="005756A6" w:rsidRDefault="00EC0874" w:rsidP="00566BB9">
            <w:pPr>
              <w:rPr>
                <w:rFonts w:ascii="Garamond" w:hAnsi="Garamond" w:cs="Times New Roman"/>
                <w:sz w:val="24"/>
                <w:szCs w:val="24"/>
              </w:rPr>
            </w:pPr>
            <w:r w:rsidRPr="005756A6">
              <w:rPr>
                <w:rFonts w:ascii="Garamond" w:hAnsi="Garamond" w:cs="Times New Roman"/>
                <w:sz w:val="24"/>
                <w:szCs w:val="24"/>
              </w:rPr>
              <w:t>Campaign Efficacy</w:t>
            </w:r>
          </w:p>
        </w:tc>
        <w:tc>
          <w:tcPr>
            <w:tcW w:w="6277" w:type="dxa"/>
            <w:gridSpan w:val="2"/>
          </w:tcPr>
          <w:p w14:paraId="3744750A" w14:textId="77777777" w:rsidR="00EC0874" w:rsidRPr="005756A6" w:rsidRDefault="00EC0874" w:rsidP="00566BB9">
            <w:pPr>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b w:val="0"/>
                <w:sz w:val="24"/>
                <w:szCs w:val="24"/>
              </w:rPr>
            </w:pPr>
            <w:r w:rsidRPr="005756A6">
              <w:rPr>
                <w:rFonts w:ascii="Garamond" w:hAnsi="Garamond" w:cs="Times New Roman"/>
                <w:sz w:val="24"/>
                <w:szCs w:val="24"/>
              </w:rPr>
              <w:t>Voter Receptivity</w:t>
            </w:r>
          </w:p>
        </w:tc>
      </w:tr>
      <w:tr w:rsidR="00EC0874" w:rsidRPr="005756A6" w14:paraId="733C8DC0" w14:textId="77777777" w:rsidTr="00912501">
        <w:trPr>
          <w:trHeight w:val="526"/>
        </w:trPr>
        <w:tc>
          <w:tcPr>
            <w:cnfStyle w:val="001000000000" w:firstRow="0" w:lastRow="0" w:firstColumn="1" w:lastColumn="0" w:oddVBand="0" w:evenVBand="0" w:oddHBand="0" w:evenHBand="0" w:firstRowFirstColumn="0" w:firstRowLastColumn="0" w:lastRowFirstColumn="0" w:lastRowLastColumn="0"/>
            <w:tcW w:w="3078" w:type="dxa"/>
            <w:vMerge/>
          </w:tcPr>
          <w:p w14:paraId="1C36CA58" w14:textId="1021B931" w:rsidR="00EC0874" w:rsidRPr="005756A6" w:rsidRDefault="00EC0874" w:rsidP="00566BB9">
            <w:pPr>
              <w:rPr>
                <w:rFonts w:ascii="Garamond" w:hAnsi="Garamond" w:cs="Times New Roman"/>
                <w:sz w:val="24"/>
                <w:szCs w:val="24"/>
              </w:rPr>
            </w:pPr>
          </w:p>
        </w:tc>
        <w:tc>
          <w:tcPr>
            <w:tcW w:w="3330" w:type="dxa"/>
          </w:tcPr>
          <w:p w14:paraId="7CFD43DE" w14:textId="4942E217" w:rsidR="00EC0874" w:rsidRPr="005756A6" w:rsidRDefault="00EC0874" w:rsidP="00912501">
            <w:pPr>
              <w:cnfStyle w:val="000000000000" w:firstRow="0" w:lastRow="0" w:firstColumn="0" w:lastColumn="0" w:oddVBand="0" w:evenVBand="0" w:oddHBand="0" w:evenHBand="0" w:firstRowFirstColumn="0" w:firstRowLastColumn="0" w:lastRowFirstColumn="0" w:lastRowLastColumn="0"/>
              <w:rPr>
                <w:rFonts w:ascii="Garamond" w:hAnsi="Garamond" w:cs="Times New Roman"/>
                <w:i/>
                <w:sz w:val="24"/>
                <w:szCs w:val="24"/>
              </w:rPr>
            </w:pPr>
            <w:r w:rsidRPr="005756A6">
              <w:rPr>
                <w:rFonts w:ascii="Garamond" w:hAnsi="Garamond" w:cs="Times New Roman"/>
                <w:i/>
                <w:sz w:val="24"/>
                <w:szCs w:val="24"/>
              </w:rPr>
              <w:t>Higher levels of polarization</w:t>
            </w:r>
          </w:p>
        </w:tc>
        <w:tc>
          <w:tcPr>
            <w:tcW w:w="2947" w:type="dxa"/>
          </w:tcPr>
          <w:p w14:paraId="1B219ACE" w14:textId="4E9F71D5" w:rsidR="00EC0874" w:rsidRPr="005756A6" w:rsidRDefault="00EC0874" w:rsidP="00566BB9">
            <w:pPr>
              <w:cnfStyle w:val="000000000000" w:firstRow="0" w:lastRow="0" w:firstColumn="0" w:lastColumn="0" w:oddVBand="0" w:evenVBand="0" w:oddHBand="0" w:evenHBand="0" w:firstRowFirstColumn="0" w:firstRowLastColumn="0" w:lastRowFirstColumn="0" w:lastRowLastColumn="0"/>
              <w:rPr>
                <w:rFonts w:ascii="Garamond" w:hAnsi="Garamond" w:cs="Times New Roman"/>
                <w:i/>
                <w:sz w:val="24"/>
                <w:szCs w:val="24"/>
              </w:rPr>
            </w:pPr>
            <w:r w:rsidRPr="005756A6">
              <w:rPr>
                <w:rFonts w:ascii="Garamond" w:hAnsi="Garamond" w:cs="Times New Roman"/>
                <w:i/>
                <w:sz w:val="24"/>
                <w:szCs w:val="24"/>
              </w:rPr>
              <w:t>Lower levels of polarization</w:t>
            </w:r>
          </w:p>
        </w:tc>
      </w:tr>
      <w:tr w:rsidR="00EC0874" w:rsidRPr="005756A6" w14:paraId="6AFCDECD" w14:textId="77777777" w:rsidTr="00912501">
        <w:tc>
          <w:tcPr>
            <w:cnfStyle w:val="001000000000" w:firstRow="0" w:lastRow="0" w:firstColumn="1" w:lastColumn="0" w:oddVBand="0" w:evenVBand="0" w:oddHBand="0" w:evenHBand="0" w:firstRowFirstColumn="0" w:firstRowLastColumn="0" w:lastRowFirstColumn="0" w:lastRowLastColumn="0"/>
            <w:tcW w:w="3078" w:type="dxa"/>
          </w:tcPr>
          <w:p w14:paraId="2D4FD7BA" w14:textId="7EFF0B53" w:rsidR="00EC0874" w:rsidRPr="005756A6" w:rsidRDefault="00EC0874" w:rsidP="00257F23">
            <w:pPr>
              <w:rPr>
                <w:rFonts w:ascii="Garamond" w:hAnsi="Garamond" w:cs="Times New Roman"/>
                <w:b w:val="0"/>
                <w:i/>
                <w:sz w:val="24"/>
                <w:szCs w:val="24"/>
              </w:rPr>
            </w:pPr>
            <w:r w:rsidRPr="005756A6">
              <w:rPr>
                <w:rFonts w:ascii="Garamond" w:hAnsi="Garamond" w:cs="Times New Roman"/>
                <w:b w:val="0"/>
                <w:i/>
                <w:sz w:val="24"/>
                <w:szCs w:val="24"/>
              </w:rPr>
              <w:t>Greater ability to reach targeted voters</w:t>
            </w:r>
          </w:p>
        </w:tc>
        <w:tc>
          <w:tcPr>
            <w:tcW w:w="3330" w:type="dxa"/>
          </w:tcPr>
          <w:p w14:paraId="701F5077" w14:textId="42113611" w:rsidR="00EC0874" w:rsidRPr="005756A6" w:rsidRDefault="00EC0874" w:rsidP="00566BB9">
            <w:pPr>
              <w:cnfStyle w:val="000000000000" w:firstRow="0" w:lastRow="0" w:firstColumn="0" w:lastColumn="0" w:oddVBand="0" w:evenVBand="0" w:oddHBand="0" w:evenHBand="0" w:firstRowFirstColumn="0" w:firstRowLastColumn="0" w:lastRowFirstColumn="0" w:lastRowLastColumn="0"/>
              <w:rPr>
                <w:rFonts w:ascii="Garamond" w:hAnsi="Garamond" w:cs="Times New Roman"/>
                <w:sz w:val="24"/>
                <w:szCs w:val="24"/>
              </w:rPr>
            </w:pPr>
            <w:r w:rsidRPr="005756A6">
              <w:rPr>
                <w:rFonts w:ascii="Garamond" w:hAnsi="Garamond" w:cs="Times New Roman"/>
                <w:sz w:val="24"/>
                <w:szCs w:val="24"/>
              </w:rPr>
              <w:t>Significant campaign effects, mostly through activation/mobilization.</w:t>
            </w:r>
          </w:p>
        </w:tc>
        <w:tc>
          <w:tcPr>
            <w:tcW w:w="2947" w:type="dxa"/>
          </w:tcPr>
          <w:p w14:paraId="5C6A098A" w14:textId="5D333283" w:rsidR="00EC0874" w:rsidRPr="005756A6" w:rsidRDefault="00EC0874" w:rsidP="00D72025">
            <w:pPr>
              <w:cnfStyle w:val="000000000000" w:firstRow="0" w:lastRow="0" w:firstColumn="0" w:lastColumn="0" w:oddVBand="0" w:evenVBand="0" w:oddHBand="0" w:evenHBand="0" w:firstRowFirstColumn="0" w:firstRowLastColumn="0" w:lastRowFirstColumn="0" w:lastRowLastColumn="0"/>
              <w:rPr>
                <w:rFonts w:ascii="Garamond" w:hAnsi="Garamond" w:cs="Times New Roman"/>
                <w:sz w:val="24"/>
                <w:szCs w:val="24"/>
              </w:rPr>
            </w:pPr>
            <w:r w:rsidRPr="005756A6">
              <w:rPr>
                <w:rFonts w:ascii="Garamond" w:hAnsi="Garamond" w:cs="Times New Roman"/>
                <w:sz w:val="24"/>
                <w:szCs w:val="24"/>
              </w:rPr>
              <w:t xml:space="preserve">Significant campaign effects, mostly through persuasion. </w:t>
            </w:r>
          </w:p>
        </w:tc>
      </w:tr>
      <w:tr w:rsidR="00EC0874" w:rsidRPr="005756A6" w14:paraId="1A25FDC2" w14:textId="77777777" w:rsidTr="00912501">
        <w:tc>
          <w:tcPr>
            <w:cnfStyle w:val="001000000000" w:firstRow="0" w:lastRow="0" w:firstColumn="1" w:lastColumn="0" w:oddVBand="0" w:evenVBand="0" w:oddHBand="0" w:evenHBand="0" w:firstRowFirstColumn="0" w:firstRowLastColumn="0" w:lastRowFirstColumn="0" w:lastRowLastColumn="0"/>
            <w:tcW w:w="3078" w:type="dxa"/>
          </w:tcPr>
          <w:p w14:paraId="01FC5F5A" w14:textId="24BD994D" w:rsidR="00EC0874" w:rsidRPr="005756A6" w:rsidRDefault="00EC0874" w:rsidP="00566BB9">
            <w:pPr>
              <w:rPr>
                <w:rFonts w:ascii="Garamond" w:hAnsi="Garamond" w:cs="Times New Roman"/>
                <w:b w:val="0"/>
                <w:i/>
                <w:sz w:val="24"/>
                <w:szCs w:val="24"/>
              </w:rPr>
            </w:pPr>
            <w:r w:rsidRPr="005756A6">
              <w:rPr>
                <w:rFonts w:ascii="Garamond" w:hAnsi="Garamond" w:cs="Times New Roman"/>
                <w:b w:val="0"/>
                <w:i/>
                <w:sz w:val="24"/>
                <w:szCs w:val="24"/>
              </w:rPr>
              <w:t>Lesser ability to reach targeted voters</w:t>
            </w:r>
          </w:p>
        </w:tc>
        <w:tc>
          <w:tcPr>
            <w:tcW w:w="3330" w:type="dxa"/>
          </w:tcPr>
          <w:p w14:paraId="1B6D54BA" w14:textId="4C42345D" w:rsidR="00EC0874" w:rsidRPr="005756A6" w:rsidRDefault="00EC0874" w:rsidP="00566BB9">
            <w:pPr>
              <w:tabs>
                <w:tab w:val="right" w:pos="2574"/>
              </w:tabs>
              <w:cnfStyle w:val="000000000000" w:firstRow="0" w:lastRow="0" w:firstColumn="0" w:lastColumn="0" w:oddVBand="0" w:evenVBand="0" w:oddHBand="0" w:evenHBand="0" w:firstRowFirstColumn="0" w:firstRowLastColumn="0" w:lastRowFirstColumn="0" w:lastRowLastColumn="0"/>
              <w:rPr>
                <w:rFonts w:ascii="Garamond" w:hAnsi="Garamond" w:cs="Times New Roman"/>
                <w:sz w:val="24"/>
                <w:szCs w:val="24"/>
              </w:rPr>
            </w:pPr>
            <w:r w:rsidRPr="005756A6">
              <w:rPr>
                <w:rFonts w:ascii="Garamond" w:hAnsi="Garamond" w:cs="Times New Roman"/>
                <w:sz w:val="24"/>
                <w:szCs w:val="24"/>
              </w:rPr>
              <w:t>Moderate campaign effects, mostly through activation/mobilization.</w:t>
            </w:r>
          </w:p>
        </w:tc>
        <w:tc>
          <w:tcPr>
            <w:tcW w:w="2947" w:type="dxa"/>
          </w:tcPr>
          <w:p w14:paraId="6CAF3F8D" w14:textId="121CD4B2" w:rsidR="00EC0874" w:rsidRPr="005756A6" w:rsidRDefault="00EC0874" w:rsidP="00566BB9">
            <w:pPr>
              <w:cnfStyle w:val="000000000000" w:firstRow="0" w:lastRow="0" w:firstColumn="0" w:lastColumn="0" w:oddVBand="0" w:evenVBand="0" w:oddHBand="0" w:evenHBand="0" w:firstRowFirstColumn="0" w:firstRowLastColumn="0" w:lastRowFirstColumn="0" w:lastRowLastColumn="0"/>
              <w:rPr>
                <w:rFonts w:ascii="Garamond" w:hAnsi="Garamond" w:cs="Times New Roman"/>
                <w:sz w:val="24"/>
                <w:szCs w:val="24"/>
              </w:rPr>
            </w:pPr>
            <w:r w:rsidRPr="005756A6">
              <w:rPr>
                <w:rFonts w:ascii="Garamond" w:hAnsi="Garamond" w:cs="Times New Roman"/>
                <w:sz w:val="24"/>
                <w:szCs w:val="24"/>
              </w:rPr>
              <w:t>Limited campaign effects, mostly through persuasion.</w:t>
            </w:r>
          </w:p>
        </w:tc>
      </w:tr>
    </w:tbl>
    <w:p w14:paraId="21B711A0" w14:textId="77777777" w:rsidR="009243A7" w:rsidRDefault="009243A7" w:rsidP="00E0456A">
      <w:pPr>
        <w:spacing w:after="0" w:line="480" w:lineRule="auto"/>
        <w:rPr>
          <w:rFonts w:ascii="Garamond" w:hAnsi="Garamond" w:cs="Times New Roman"/>
          <w:sz w:val="24"/>
          <w:szCs w:val="24"/>
          <w:u w:val="single"/>
        </w:rPr>
      </w:pPr>
    </w:p>
    <w:p w14:paraId="589E1590" w14:textId="66E1D279" w:rsidR="00EC0874" w:rsidRPr="005756A6" w:rsidRDefault="00EC0874" w:rsidP="00E0456A">
      <w:pPr>
        <w:spacing w:after="0" w:line="480" w:lineRule="auto"/>
        <w:rPr>
          <w:rFonts w:ascii="Garamond" w:hAnsi="Garamond" w:cs="Times New Roman"/>
          <w:sz w:val="24"/>
          <w:szCs w:val="24"/>
          <w:u w:val="single"/>
        </w:rPr>
      </w:pPr>
      <w:r w:rsidRPr="005756A6">
        <w:rPr>
          <w:rFonts w:ascii="Garamond" w:hAnsi="Garamond" w:cs="Times New Roman"/>
          <w:sz w:val="24"/>
          <w:szCs w:val="24"/>
          <w:u w:val="single"/>
        </w:rPr>
        <w:t>Research Expectations for the Texas Study</w:t>
      </w:r>
    </w:p>
    <w:p w14:paraId="13C7D59E" w14:textId="2D128D21" w:rsidR="00EC0874" w:rsidRPr="005756A6" w:rsidRDefault="002F410B" w:rsidP="00E0456A">
      <w:pPr>
        <w:spacing w:after="0" w:line="480" w:lineRule="auto"/>
        <w:ind w:firstLine="720"/>
        <w:rPr>
          <w:rFonts w:ascii="Garamond" w:hAnsi="Garamond" w:cs="Times New Roman"/>
          <w:sz w:val="24"/>
          <w:szCs w:val="24"/>
        </w:rPr>
      </w:pPr>
      <w:r>
        <w:rPr>
          <w:rFonts w:ascii="Garamond" w:hAnsi="Garamond" w:cs="Times New Roman"/>
          <w:sz w:val="24"/>
          <w:szCs w:val="24"/>
        </w:rPr>
        <w:t xml:space="preserve">Assuming the posited </w:t>
      </w:r>
      <w:r w:rsidR="00EC0874" w:rsidRPr="005756A6">
        <w:rPr>
          <w:rFonts w:ascii="Garamond" w:hAnsi="Garamond" w:cs="Times New Roman"/>
          <w:sz w:val="24"/>
          <w:szCs w:val="24"/>
        </w:rPr>
        <w:t xml:space="preserve">relationship between reach, targeting precision, and voter receptivity, </w:t>
      </w:r>
      <w:r w:rsidR="004F4EA0">
        <w:rPr>
          <w:rFonts w:ascii="Garamond" w:hAnsi="Garamond" w:cs="Times New Roman"/>
          <w:sz w:val="24"/>
          <w:szCs w:val="24"/>
        </w:rPr>
        <w:t xml:space="preserve">we have </w:t>
      </w:r>
      <w:r w:rsidR="00EC0874" w:rsidRPr="005756A6">
        <w:rPr>
          <w:rFonts w:ascii="Garamond" w:hAnsi="Garamond" w:cs="Times New Roman"/>
          <w:sz w:val="24"/>
          <w:szCs w:val="24"/>
        </w:rPr>
        <w:t xml:space="preserve">several </w:t>
      </w:r>
      <w:r w:rsidR="004F4EA0">
        <w:rPr>
          <w:rFonts w:ascii="Garamond" w:hAnsi="Garamond" w:cs="Times New Roman"/>
          <w:sz w:val="24"/>
          <w:szCs w:val="24"/>
        </w:rPr>
        <w:t>attendant expectations.</w:t>
      </w:r>
      <w:r w:rsidR="00EC0874" w:rsidRPr="005756A6">
        <w:rPr>
          <w:rFonts w:ascii="Garamond" w:hAnsi="Garamond" w:cs="Times New Roman"/>
          <w:sz w:val="24"/>
          <w:szCs w:val="24"/>
        </w:rPr>
        <w:t xml:space="preserve"> First, campaigning ought to affect vote choice. </w:t>
      </w:r>
      <w:r w:rsidR="00163B0A">
        <w:rPr>
          <w:rFonts w:ascii="Garamond" w:hAnsi="Garamond" w:cs="Times New Roman"/>
          <w:sz w:val="24"/>
          <w:szCs w:val="24"/>
        </w:rPr>
        <w:t>T</w:t>
      </w:r>
      <w:r w:rsidR="00EC0874" w:rsidRPr="005756A6">
        <w:rPr>
          <w:rFonts w:ascii="Garamond" w:hAnsi="Garamond" w:cs="Times New Roman"/>
          <w:sz w:val="24"/>
          <w:szCs w:val="24"/>
        </w:rPr>
        <w:t xml:space="preserve">he theoretical literature discussed earlier and the vast majority of empirical studies </w:t>
      </w:r>
      <w:r w:rsidR="00816192">
        <w:rPr>
          <w:rFonts w:ascii="Garamond" w:hAnsi="Garamond" w:cs="Times New Roman"/>
          <w:sz w:val="24"/>
          <w:szCs w:val="24"/>
        </w:rPr>
        <w:t xml:space="preserve">(e.g., </w:t>
      </w:r>
      <w:r w:rsidR="004E01E5">
        <w:rPr>
          <w:rFonts w:ascii="Garamond" w:hAnsi="Garamond" w:cs="Times New Roman"/>
          <w:sz w:val="24"/>
          <w:szCs w:val="24"/>
        </w:rPr>
        <w:t xml:space="preserve">Hillygus and Jackman, 2003; </w:t>
      </w:r>
      <w:r w:rsidR="00816192">
        <w:rPr>
          <w:rFonts w:ascii="Garamond" w:hAnsi="Garamond" w:cs="Times New Roman"/>
          <w:sz w:val="24"/>
          <w:szCs w:val="24"/>
        </w:rPr>
        <w:t xml:space="preserve">Shaw 2006) </w:t>
      </w:r>
      <w:r w:rsidR="00EC0874" w:rsidRPr="005756A6">
        <w:rPr>
          <w:rFonts w:ascii="Garamond" w:hAnsi="Garamond" w:cs="Times New Roman"/>
          <w:sz w:val="24"/>
          <w:szCs w:val="24"/>
        </w:rPr>
        <w:t>suggest that campaigns can influence at</w:t>
      </w:r>
      <w:r w:rsidR="00816192">
        <w:rPr>
          <w:rFonts w:ascii="Garamond" w:hAnsi="Garamond" w:cs="Times New Roman"/>
          <w:sz w:val="24"/>
          <w:szCs w:val="24"/>
        </w:rPr>
        <w:t>titudes towards the candidates, so our fo</w:t>
      </w:r>
      <w:r w:rsidR="00EC0874" w:rsidRPr="005756A6">
        <w:rPr>
          <w:rFonts w:ascii="Garamond" w:hAnsi="Garamond" w:cs="Times New Roman"/>
          <w:sz w:val="24"/>
          <w:szCs w:val="24"/>
        </w:rPr>
        <w:t>cus is on confirming this conventional wisdom.</w:t>
      </w:r>
    </w:p>
    <w:p w14:paraId="417E603B" w14:textId="0E746518" w:rsidR="00EC0874" w:rsidRPr="005756A6" w:rsidRDefault="00EC0874" w:rsidP="00E0456A">
      <w:pPr>
        <w:spacing w:after="0" w:line="480" w:lineRule="auto"/>
        <w:ind w:firstLine="720"/>
        <w:rPr>
          <w:rFonts w:ascii="Garamond" w:hAnsi="Garamond" w:cs="Times New Roman"/>
          <w:b/>
          <w:sz w:val="24"/>
          <w:szCs w:val="24"/>
          <w:u w:val="single"/>
        </w:rPr>
      </w:pPr>
      <w:r w:rsidRPr="005756A6">
        <w:rPr>
          <w:rFonts w:ascii="Garamond" w:hAnsi="Garamond" w:cs="Times New Roman"/>
          <w:sz w:val="24"/>
          <w:szCs w:val="24"/>
        </w:rPr>
        <w:t>Second, campaigning should also affect turnout. Unlike studies of campaign persuasion, many turnout studies suggest that effects are small or non-existent (</w:t>
      </w:r>
      <w:r w:rsidR="00136C78">
        <w:rPr>
          <w:rFonts w:ascii="Garamond" w:hAnsi="Garamond" w:cs="Times New Roman"/>
          <w:sz w:val="24"/>
          <w:szCs w:val="24"/>
        </w:rPr>
        <w:t xml:space="preserve">e.g., </w:t>
      </w:r>
      <w:r w:rsidRPr="005756A6">
        <w:rPr>
          <w:rFonts w:ascii="Garamond" w:hAnsi="Garamond" w:cs="Times New Roman"/>
          <w:sz w:val="24"/>
          <w:szCs w:val="24"/>
        </w:rPr>
        <w:t>Krasno and Green 2008). But recent research on aggregate campaigning and turnout is more positive (Issenberg, 201</w:t>
      </w:r>
      <w:r w:rsidR="00136C78">
        <w:rPr>
          <w:rFonts w:ascii="Garamond" w:hAnsi="Garamond" w:cs="Times New Roman"/>
          <w:sz w:val="24"/>
          <w:szCs w:val="24"/>
        </w:rPr>
        <w:t>2</w:t>
      </w:r>
      <w:r w:rsidRPr="005756A6">
        <w:rPr>
          <w:rFonts w:ascii="Garamond" w:hAnsi="Garamond" w:cs="Times New Roman"/>
          <w:sz w:val="24"/>
          <w:szCs w:val="24"/>
        </w:rPr>
        <w:t>) and one study of battleground states in the 2012 presidential election estimated a mobiliz</w:t>
      </w:r>
      <w:r w:rsidR="00633766">
        <w:rPr>
          <w:rFonts w:ascii="Garamond" w:hAnsi="Garamond" w:cs="Times New Roman"/>
          <w:sz w:val="24"/>
          <w:szCs w:val="24"/>
        </w:rPr>
        <w:t xml:space="preserve">ation </w:t>
      </w:r>
      <w:r w:rsidRPr="005756A6">
        <w:rPr>
          <w:rFonts w:ascii="Garamond" w:hAnsi="Garamond" w:cs="Times New Roman"/>
          <w:sz w:val="24"/>
          <w:szCs w:val="24"/>
        </w:rPr>
        <w:t>effect of between 7-8 points (Enos and Fowler, 2016). Once again, there is also the specter of polarization, which suggests mobilization is perhaps the most likely campaign effect. Consequently, we focus here on offering something new to a rather fulsome debate.</w:t>
      </w:r>
    </w:p>
    <w:p w14:paraId="010EB58D" w14:textId="6AF49464" w:rsidR="00EC0874" w:rsidRPr="005756A6" w:rsidRDefault="00EC0874" w:rsidP="00E0456A">
      <w:pPr>
        <w:spacing w:after="0" w:line="480" w:lineRule="auto"/>
        <w:ind w:firstLine="720"/>
        <w:rPr>
          <w:rFonts w:ascii="Garamond" w:hAnsi="Garamond" w:cs="Times New Roman"/>
          <w:sz w:val="24"/>
          <w:szCs w:val="24"/>
        </w:rPr>
      </w:pPr>
      <w:r w:rsidRPr="005756A6">
        <w:rPr>
          <w:rFonts w:ascii="Garamond" w:hAnsi="Garamond" w:cs="Times New Roman"/>
          <w:sz w:val="24"/>
          <w:szCs w:val="24"/>
        </w:rPr>
        <w:t xml:space="preserve">Our third (but perhaps most important) expectation is that campaigns have synergistic effects on voters. The notion that campaign effects are synergistic has only occasionally been tested, with little supportive evidence being proffered (Gerber and Green, 2004; Fieldhouse, Cutts, and Widdop, 2013; Cardy, 2005). But these tests have largely been incidental to the studies, and they have focused on the interactive effects between direct mail and paid phone calls. We think the </w:t>
      </w:r>
      <w:r w:rsidRPr="005756A6">
        <w:rPr>
          <w:rFonts w:ascii="Garamond" w:hAnsi="Garamond" w:cs="Times New Roman"/>
          <w:sz w:val="24"/>
          <w:szCs w:val="24"/>
        </w:rPr>
        <w:lastRenderedPageBreak/>
        <w:t>“reach versus targeting precision” conundrum makes it probable that campaigns use an “all of the above” approach, and that a multi-mode, synergistic effort is likely to affect voters.</w:t>
      </w:r>
    </w:p>
    <w:p w14:paraId="6077D7E6" w14:textId="1EB65FF9" w:rsidR="00EC0874" w:rsidRPr="005756A6" w:rsidRDefault="00EC0874" w:rsidP="00E0456A">
      <w:pPr>
        <w:spacing w:after="0" w:line="480" w:lineRule="auto"/>
        <w:ind w:firstLine="720"/>
        <w:rPr>
          <w:rFonts w:ascii="Garamond" w:hAnsi="Garamond" w:cs="Times New Roman"/>
          <w:sz w:val="24"/>
          <w:szCs w:val="24"/>
        </w:rPr>
      </w:pPr>
      <w:r w:rsidRPr="005756A6">
        <w:rPr>
          <w:rFonts w:ascii="Garamond" w:hAnsi="Garamond" w:cs="Times New Roman"/>
          <w:sz w:val="24"/>
          <w:szCs w:val="24"/>
        </w:rPr>
        <w:t xml:space="preserve">It is less obvious, however, exactly how synergistic effects occur. From the public opinion and voting literature, we suspect that reach modes are primarily used to increase awareness of a candidate and to establish some positive affect (e.g., Iyengar and Simon, 2000). We also suspect they are sometimes used to establish the candidate’s issue priorities and credentials (e.g., </w:t>
      </w:r>
      <w:r w:rsidR="00B2695E">
        <w:rPr>
          <w:rFonts w:ascii="Garamond" w:hAnsi="Garamond" w:cs="Times New Roman"/>
          <w:sz w:val="24"/>
          <w:szCs w:val="24"/>
        </w:rPr>
        <w:t>Fowler</w:t>
      </w:r>
      <w:r w:rsidRPr="005756A6">
        <w:rPr>
          <w:rFonts w:ascii="Garamond" w:hAnsi="Garamond" w:cs="Times New Roman"/>
          <w:sz w:val="24"/>
          <w:szCs w:val="24"/>
        </w:rPr>
        <w:t xml:space="preserve"> and Ridout, 2014). On the other side of the ledger, more precisely targeted modes convey specific messages to receptive voters. This outreach emphasizes conveying substantive and discrete information that can then be accessed when a voter must </w:t>
      </w:r>
      <w:r w:rsidR="003723B8">
        <w:rPr>
          <w:rFonts w:ascii="Garamond" w:hAnsi="Garamond" w:cs="Times New Roman"/>
          <w:sz w:val="24"/>
          <w:szCs w:val="24"/>
        </w:rPr>
        <w:t>offer</w:t>
      </w:r>
      <w:r w:rsidRPr="005756A6">
        <w:rPr>
          <w:rFonts w:ascii="Garamond" w:hAnsi="Garamond" w:cs="Times New Roman"/>
          <w:sz w:val="24"/>
          <w:szCs w:val="24"/>
        </w:rPr>
        <w:t xml:space="preserve"> a candidate preference or vote (Hersh and Schaffner, 2012). This “substantive and discrete information” is akin to what some opinion scholars call “considerations” (Zaller, 1992), and is necessary to give </w:t>
      </w:r>
      <w:r w:rsidR="00F65FFE">
        <w:rPr>
          <w:rFonts w:ascii="Garamond" w:hAnsi="Garamond" w:cs="Times New Roman"/>
          <w:sz w:val="24"/>
          <w:szCs w:val="24"/>
        </w:rPr>
        <w:t xml:space="preserve">firmness </w:t>
      </w:r>
      <w:r w:rsidRPr="005756A6">
        <w:rPr>
          <w:rFonts w:ascii="Garamond" w:hAnsi="Garamond" w:cs="Times New Roman"/>
          <w:sz w:val="24"/>
          <w:szCs w:val="24"/>
        </w:rPr>
        <w:t xml:space="preserve">and consistency to the expressed vote choice.  “Synergistic effects” therefore occur when someone becomes more likely to cast a vote for a candidate either because specific issue positions reinforce a generally positive feeling towards a candidate, or because the personal characteristics of the candidate reinforce agreement on issue positions. </w:t>
      </w:r>
    </w:p>
    <w:p w14:paraId="36B43CE5" w14:textId="1EFA4104" w:rsidR="00EC0874" w:rsidRPr="005756A6" w:rsidRDefault="00EC0874" w:rsidP="004E01E5">
      <w:pPr>
        <w:spacing w:after="0" w:line="480" w:lineRule="auto"/>
        <w:ind w:firstLine="720"/>
        <w:rPr>
          <w:rFonts w:ascii="Garamond" w:hAnsi="Garamond" w:cs="Times New Roman"/>
          <w:sz w:val="24"/>
          <w:szCs w:val="24"/>
        </w:rPr>
      </w:pPr>
      <w:r w:rsidRPr="005756A6">
        <w:rPr>
          <w:rFonts w:ascii="Garamond" w:hAnsi="Garamond" w:cs="Times New Roman"/>
          <w:sz w:val="24"/>
          <w:szCs w:val="24"/>
        </w:rPr>
        <w:t>There is clear evidence that campaigns think different forms of campaigning have a synergistic effect</w:t>
      </w:r>
      <w:r w:rsidR="004E01E5">
        <w:rPr>
          <w:rFonts w:ascii="Garamond" w:hAnsi="Garamond" w:cs="Times New Roman"/>
          <w:sz w:val="24"/>
          <w:szCs w:val="24"/>
        </w:rPr>
        <w:t xml:space="preserve"> (e.g., Decker and Koster, 2014)</w:t>
      </w:r>
      <w:r w:rsidRPr="005756A6">
        <w:rPr>
          <w:rFonts w:ascii="Garamond" w:hAnsi="Garamond" w:cs="Times New Roman"/>
          <w:sz w:val="24"/>
          <w:szCs w:val="24"/>
        </w:rPr>
        <w:t>. When planning their calendars, campaign practitioners tend to view television and radio as “setting the table” for digital, mail, and phones, which offer more substantive and issue-based appeals. They also increasingly view targeted outreach as a way to drive receptive voters to reach modes: mail, emails, or Internet ads invite or link voters back to online videos. This process is called “amplification” and can be viewed as a form of synergistic campaigning (Decker and Koster, 2014).  However varied its specific execution, synergistic campaigning is a staple of consultant talk in contemporary American elections and we expect that it will affect voters in this study.</w:t>
      </w:r>
    </w:p>
    <w:p w14:paraId="729080AC" w14:textId="77777777" w:rsidR="00EC0874" w:rsidRPr="005756A6" w:rsidRDefault="00EC0874" w:rsidP="00217676">
      <w:pPr>
        <w:spacing w:after="0" w:line="480" w:lineRule="auto"/>
        <w:rPr>
          <w:rFonts w:ascii="Garamond" w:hAnsi="Garamond" w:cs="Times New Roman"/>
          <w:b/>
          <w:sz w:val="24"/>
          <w:szCs w:val="24"/>
        </w:rPr>
      </w:pPr>
    </w:p>
    <w:p w14:paraId="5A402B3B" w14:textId="2CA5341B" w:rsidR="00EC0874" w:rsidRPr="005756A6" w:rsidRDefault="00EC0874" w:rsidP="00217676">
      <w:pPr>
        <w:spacing w:after="0" w:line="480" w:lineRule="auto"/>
        <w:rPr>
          <w:rFonts w:ascii="Garamond" w:hAnsi="Garamond" w:cs="Times New Roman"/>
          <w:b/>
          <w:sz w:val="24"/>
          <w:szCs w:val="24"/>
        </w:rPr>
      </w:pPr>
      <w:r w:rsidRPr="005756A6">
        <w:rPr>
          <w:rFonts w:ascii="Garamond" w:hAnsi="Garamond" w:cs="Times New Roman"/>
          <w:b/>
          <w:sz w:val="24"/>
          <w:szCs w:val="24"/>
        </w:rPr>
        <w:t>Context</w:t>
      </w:r>
    </w:p>
    <w:p w14:paraId="6AC759C9" w14:textId="2A64065A" w:rsidR="00EC0874" w:rsidRPr="005756A6" w:rsidRDefault="00EC0874" w:rsidP="002D6C93">
      <w:pPr>
        <w:spacing w:after="0" w:line="480" w:lineRule="auto"/>
        <w:ind w:firstLine="720"/>
        <w:rPr>
          <w:rFonts w:ascii="Garamond" w:hAnsi="Garamond" w:cs="Times New Roman"/>
          <w:sz w:val="24"/>
          <w:szCs w:val="24"/>
        </w:rPr>
      </w:pPr>
      <w:r w:rsidRPr="005756A6">
        <w:rPr>
          <w:rFonts w:ascii="Garamond" w:hAnsi="Garamond" w:cs="Times New Roman"/>
          <w:sz w:val="24"/>
          <w:szCs w:val="24"/>
        </w:rPr>
        <w:t>As mentioned above, this project flows from a unique opportunity to design and execute a field experiment in conjunction with a major, statewide partisan election campaign. The field experiments were conducted on behalf of Republican Greg Abbott’s gubernatorial campaign in advance of the March 4, 2014 Texas primary election. Abbott was the Attorney General of Texas, a position to which he was re-elected twice after first winning the office in 2002. Abbott faced credible resistance in the GOP Primary from Lisa Fritsch, whose writings and media personality had endeared her to Tea Party groups. Early polls, however, showed Abbott well above the 50 percent necessary to avoid a runoff election.  In the end, Abbott handily defeated his opposition, amassing almost 1.22 million votes for 91.5 percent of the total tally.</w:t>
      </w:r>
    </w:p>
    <w:p w14:paraId="7CCC6EAC" w14:textId="135AEDA2" w:rsidR="00EC0874" w:rsidRPr="005756A6" w:rsidRDefault="00EC0874" w:rsidP="002D6C93">
      <w:pPr>
        <w:spacing w:after="0" w:line="480" w:lineRule="auto"/>
        <w:ind w:firstLine="720"/>
        <w:rPr>
          <w:rFonts w:ascii="Garamond" w:hAnsi="Garamond" w:cs="Times New Roman"/>
          <w:sz w:val="24"/>
          <w:szCs w:val="24"/>
        </w:rPr>
      </w:pPr>
      <w:r w:rsidRPr="005756A6">
        <w:rPr>
          <w:rFonts w:ascii="Garamond" w:hAnsi="Garamond" w:cs="Times New Roman"/>
          <w:sz w:val="24"/>
          <w:szCs w:val="24"/>
        </w:rPr>
        <w:t>However, the general election contest was always considered more of a test by the Abbott folk, with Wendy Davis, a state senator from Fort Worth, looming as the Democratic opponent. Davis burst onto the state and national scenes on June 25, 2013, when she held an eleven-hour filibuster on the floor of the state senate to block legislation that included restrictions on abortions. Following a flood of attention for her role in the abortion showdown, Davis announced her candidacy for the Democratic nomination for Texas governor in October 2013. She immediately became a prohibitive favorite to win the primary, and ended up raising approximately $37 million.</w:t>
      </w:r>
      <w:r w:rsidRPr="005756A6">
        <w:rPr>
          <w:rStyle w:val="FootnoteReference"/>
          <w:rFonts w:ascii="Garamond" w:hAnsi="Garamond" w:cs="Times New Roman"/>
          <w:sz w:val="24"/>
          <w:szCs w:val="24"/>
        </w:rPr>
        <w:footnoteReference w:id="3"/>
      </w:r>
      <w:r w:rsidRPr="005756A6">
        <w:rPr>
          <w:rFonts w:ascii="Garamond" w:hAnsi="Garamond" w:cs="Times New Roman"/>
          <w:sz w:val="24"/>
          <w:szCs w:val="24"/>
        </w:rPr>
        <w:t xml:space="preserve"> Polls from late 2013 showed Abbott with a single-digit lead over Davis, but Davis was actually better known.</w:t>
      </w:r>
    </w:p>
    <w:p w14:paraId="49BECA06" w14:textId="225B1640" w:rsidR="00EC0874" w:rsidRPr="005756A6" w:rsidRDefault="00EC0874" w:rsidP="002D6C93">
      <w:pPr>
        <w:spacing w:after="0" w:line="480" w:lineRule="auto"/>
        <w:ind w:firstLine="720"/>
        <w:rPr>
          <w:rFonts w:ascii="Garamond" w:hAnsi="Garamond" w:cs="Times New Roman"/>
          <w:sz w:val="24"/>
          <w:szCs w:val="24"/>
        </w:rPr>
      </w:pPr>
      <w:r w:rsidRPr="005756A6">
        <w:rPr>
          <w:rFonts w:ascii="Garamond" w:hAnsi="Garamond" w:cs="Times New Roman"/>
          <w:sz w:val="24"/>
          <w:szCs w:val="24"/>
        </w:rPr>
        <w:lastRenderedPageBreak/>
        <w:t>During its December 2013 strategy meetings, the Abbott team decided to use the primary phase of the campaign to test the stand-alone and synergistic effects of different modes of campaign outreach.</w:t>
      </w:r>
      <w:r w:rsidRPr="005756A6">
        <w:rPr>
          <w:rStyle w:val="FootnoteReference"/>
          <w:rFonts w:ascii="Garamond" w:hAnsi="Garamond" w:cs="Times New Roman"/>
          <w:sz w:val="24"/>
          <w:szCs w:val="24"/>
        </w:rPr>
        <w:footnoteReference w:id="4"/>
      </w:r>
      <w:r w:rsidRPr="005756A6">
        <w:rPr>
          <w:rFonts w:ascii="Garamond" w:hAnsi="Garamond" w:cs="Times New Roman"/>
          <w:sz w:val="24"/>
          <w:szCs w:val="24"/>
        </w:rPr>
        <w:t xml:space="preserve"> The purpose was to identify the most effective ways to affect voters’ perceptions of the candidates, as well as to mobilize likely Abbott supporters. Although the campaign outreach occurred in advance of the primary election, it was mostly designed to enhance Abbott’s standing and chances for the November general election.</w:t>
      </w:r>
    </w:p>
    <w:p w14:paraId="375926AA" w14:textId="77777777" w:rsidR="00EC0874" w:rsidRPr="005756A6" w:rsidRDefault="00EC0874" w:rsidP="002D6C93">
      <w:pPr>
        <w:spacing w:after="0" w:line="480" w:lineRule="auto"/>
        <w:ind w:firstLine="720"/>
        <w:rPr>
          <w:rFonts w:ascii="Garamond" w:hAnsi="Garamond" w:cs="Times New Roman"/>
          <w:sz w:val="24"/>
          <w:szCs w:val="24"/>
        </w:rPr>
      </w:pPr>
      <w:r w:rsidRPr="005756A6">
        <w:rPr>
          <w:rFonts w:ascii="Garamond" w:hAnsi="Garamond" w:cs="Times New Roman"/>
          <w:sz w:val="24"/>
          <w:szCs w:val="24"/>
        </w:rPr>
        <w:t xml:space="preserve">   </w:t>
      </w:r>
    </w:p>
    <w:p w14:paraId="722D2378" w14:textId="77777777" w:rsidR="00EC0874" w:rsidRPr="005756A6" w:rsidRDefault="00EC0874" w:rsidP="00707E13">
      <w:pPr>
        <w:spacing w:after="0" w:line="480" w:lineRule="auto"/>
        <w:rPr>
          <w:rFonts w:ascii="Garamond" w:hAnsi="Garamond" w:cs="Times New Roman"/>
          <w:b/>
          <w:sz w:val="24"/>
          <w:szCs w:val="24"/>
        </w:rPr>
      </w:pPr>
      <w:r w:rsidRPr="005756A6">
        <w:rPr>
          <w:rFonts w:ascii="Garamond" w:hAnsi="Garamond" w:cs="Times New Roman"/>
          <w:b/>
          <w:sz w:val="24"/>
          <w:szCs w:val="24"/>
        </w:rPr>
        <w:t>Design</w:t>
      </w:r>
    </w:p>
    <w:p w14:paraId="48B69905" w14:textId="6058CF5D" w:rsidR="00EC0874" w:rsidRPr="005756A6" w:rsidRDefault="00EC0874" w:rsidP="002D2E6A">
      <w:pPr>
        <w:spacing w:after="0" w:line="480" w:lineRule="auto"/>
        <w:ind w:firstLine="720"/>
        <w:rPr>
          <w:rFonts w:ascii="Garamond" w:hAnsi="Garamond" w:cs="Times New Roman"/>
          <w:sz w:val="24"/>
          <w:szCs w:val="24"/>
        </w:rPr>
      </w:pPr>
      <w:r w:rsidRPr="005756A6">
        <w:rPr>
          <w:rFonts w:ascii="Garamond" w:hAnsi="Garamond" w:cs="Times New Roman"/>
          <w:sz w:val="24"/>
          <w:szCs w:val="24"/>
        </w:rPr>
        <w:t xml:space="preserve">The goal of the study was to randomize all of Abbott’s campaign communications for three weeks in February, to test the independent effects of each outreach mode, as well as the overall effects of the campaign. Several practical realities made for some tricky design dilemmas, however. For starters, the Abbott campaign wished to examine broadcast television, cable television, radio, internet, and mail. The difficulty, of course, is that unlike mail or door knocks, one cannot easily randomize television, radio, or online advertisements at the individual level. The campaign also wanted to analyze both turnout in the primary and attitudes towards the likely general election candidates (Abbott and Davis). This required the acquisition of voting records from the state (for turnout analyses), as well as large-N surveys (for candidate attitudes). Finally, the campaign was concerned about the expense of the state’s three largest media markets: Dallas/Ft. Worth, Houston, and San Antonio. These markets were excluded, as was Austin due to concerns about both its expense and “uniqueness” (as one can see from the analysis of clusters in the </w:t>
      </w:r>
      <w:r w:rsidR="00EF26B7">
        <w:rPr>
          <w:rFonts w:ascii="Garamond" w:hAnsi="Garamond" w:cs="Times New Roman"/>
          <w:sz w:val="24"/>
          <w:szCs w:val="24"/>
        </w:rPr>
        <w:t xml:space="preserve">supplemental </w:t>
      </w:r>
      <w:r w:rsidRPr="005756A6">
        <w:rPr>
          <w:rFonts w:ascii="Garamond" w:hAnsi="Garamond" w:cs="Times New Roman"/>
          <w:sz w:val="24"/>
          <w:szCs w:val="24"/>
        </w:rPr>
        <w:lastRenderedPageBreak/>
        <w:t>appendix, no other markets in the state are easily matched with Austin).  This meant that the tests required a design focused on the state’s remaining 12 media markets.</w:t>
      </w:r>
      <w:r w:rsidRPr="005756A6">
        <w:rPr>
          <w:rStyle w:val="FootnoteReference"/>
          <w:rFonts w:ascii="Garamond" w:hAnsi="Garamond" w:cs="Times New Roman"/>
          <w:sz w:val="24"/>
          <w:szCs w:val="24"/>
        </w:rPr>
        <w:footnoteReference w:id="5"/>
      </w:r>
      <w:r w:rsidRPr="005756A6">
        <w:rPr>
          <w:rFonts w:ascii="Garamond" w:hAnsi="Garamond" w:cs="Times New Roman"/>
          <w:sz w:val="24"/>
          <w:szCs w:val="24"/>
        </w:rPr>
        <w:t xml:space="preserve"> </w:t>
      </w:r>
    </w:p>
    <w:p w14:paraId="20193A59" w14:textId="77777777" w:rsidR="00EC0874" w:rsidRPr="005756A6" w:rsidRDefault="00EC0874" w:rsidP="002D6C93">
      <w:pPr>
        <w:spacing w:after="0" w:line="480" w:lineRule="auto"/>
        <w:ind w:firstLine="720"/>
        <w:rPr>
          <w:rFonts w:ascii="Garamond" w:hAnsi="Garamond" w:cs="Times New Roman"/>
          <w:sz w:val="24"/>
          <w:szCs w:val="24"/>
        </w:rPr>
      </w:pPr>
    </w:p>
    <w:p w14:paraId="02E02088" w14:textId="77777777" w:rsidR="00EC0874" w:rsidRPr="005756A6" w:rsidRDefault="00EC0874" w:rsidP="002D6C93">
      <w:pPr>
        <w:spacing w:after="0" w:line="480" w:lineRule="auto"/>
        <w:rPr>
          <w:rFonts w:ascii="Garamond" w:hAnsi="Garamond" w:cs="Times New Roman"/>
          <w:sz w:val="24"/>
          <w:szCs w:val="24"/>
          <w:u w:val="single"/>
        </w:rPr>
      </w:pPr>
      <w:r w:rsidRPr="005756A6">
        <w:rPr>
          <w:rFonts w:ascii="Garamond" w:hAnsi="Garamond" w:cs="Times New Roman"/>
          <w:sz w:val="24"/>
          <w:szCs w:val="24"/>
          <w:u w:val="single"/>
        </w:rPr>
        <w:t>Broadcast Television, Cable Television, and Radio</w:t>
      </w:r>
    </w:p>
    <w:p w14:paraId="7B63F374" w14:textId="77A2F48A" w:rsidR="00EC0874" w:rsidRPr="005756A6" w:rsidRDefault="00EC0874" w:rsidP="00E0456A">
      <w:pPr>
        <w:spacing w:after="0" w:line="480" w:lineRule="auto"/>
        <w:rPr>
          <w:rFonts w:ascii="Garamond" w:hAnsi="Garamond" w:cs="Times New Roman"/>
          <w:sz w:val="24"/>
          <w:szCs w:val="24"/>
        </w:rPr>
      </w:pPr>
      <w:r w:rsidRPr="005756A6">
        <w:rPr>
          <w:rFonts w:ascii="Garamond" w:hAnsi="Garamond" w:cs="Times New Roman"/>
          <w:sz w:val="24"/>
          <w:szCs w:val="24"/>
        </w:rPr>
        <w:tab/>
        <w:t xml:space="preserve">We began by </w:t>
      </w:r>
      <w:r w:rsidR="006E5FDD">
        <w:rPr>
          <w:rFonts w:ascii="Garamond" w:hAnsi="Garamond" w:cs="Times New Roman"/>
          <w:sz w:val="24"/>
          <w:szCs w:val="24"/>
        </w:rPr>
        <w:t xml:space="preserve">identifying and </w:t>
      </w:r>
      <w:r w:rsidRPr="005756A6">
        <w:rPr>
          <w:rFonts w:ascii="Garamond" w:hAnsi="Garamond" w:cs="Times New Roman"/>
          <w:sz w:val="24"/>
          <w:szCs w:val="24"/>
        </w:rPr>
        <w:t xml:space="preserve">gathering data on the media markets in play for broadcast television </w:t>
      </w:r>
      <w:r w:rsidRPr="005756A6">
        <w:rPr>
          <w:rFonts w:ascii="Garamond" w:hAnsi="Garamond" w:cs="Times New Roman"/>
          <w:color w:val="000000" w:themeColor="text1"/>
          <w:sz w:val="24"/>
          <w:szCs w:val="24"/>
        </w:rPr>
        <w:t>advertisements: Abilene-Sweetwater, Amarillo, Beaumont-Port Arthur, Corpus Christi, Harlingen-Weslaco-Brownsville, Lubbock, Odessa-Midland, El Paso, San Angelo, Tyler-Longview-Lufkin-Nacogdoches, Waco-Temple-Bryan, and Wichita Falls</w:t>
      </w:r>
      <w:r w:rsidRPr="005756A6">
        <w:rPr>
          <w:rFonts w:ascii="Garamond" w:hAnsi="Garamond" w:cs="Times New Roman"/>
          <w:sz w:val="24"/>
          <w:szCs w:val="24"/>
        </w:rPr>
        <w:t xml:space="preserve">. We </w:t>
      </w:r>
      <w:r w:rsidR="006E5FDD">
        <w:rPr>
          <w:rFonts w:ascii="Garamond" w:hAnsi="Garamond" w:cs="Times New Roman"/>
          <w:sz w:val="24"/>
          <w:szCs w:val="24"/>
        </w:rPr>
        <w:t>sorted t</w:t>
      </w:r>
      <w:r w:rsidRPr="005756A6">
        <w:rPr>
          <w:rFonts w:ascii="Garamond" w:hAnsi="Garamond" w:cs="Times New Roman"/>
          <w:sz w:val="24"/>
          <w:szCs w:val="24"/>
        </w:rPr>
        <w:t>he media markets into</w:t>
      </w:r>
      <w:r w:rsidR="006E5FDD">
        <w:rPr>
          <w:rFonts w:ascii="Garamond" w:hAnsi="Garamond" w:cs="Times New Roman"/>
          <w:sz w:val="24"/>
          <w:szCs w:val="24"/>
        </w:rPr>
        <w:t xml:space="preserve"> matched</w:t>
      </w:r>
      <w:r w:rsidRPr="005756A6">
        <w:rPr>
          <w:rFonts w:ascii="Garamond" w:hAnsi="Garamond" w:cs="Times New Roman"/>
          <w:sz w:val="24"/>
          <w:szCs w:val="24"/>
        </w:rPr>
        <w:t xml:space="preserve"> groups based on past partisan voting averages (average Republican share of the two-party vote in statewide races in 2010 and 2012), percent Black and percent Hispanic, percent under 30 years of age, and median household income. The four </w:t>
      </w:r>
      <w:r w:rsidR="006E5FDD">
        <w:rPr>
          <w:rFonts w:ascii="Garamond" w:hAnsi="Garamond" w:cs="Times New Roman"/>
          <w:sz w:val="24"/>
          <w:szCs w:val="24"/>
        </w:rPr>
        <w:t xml:space="preserve">matched </w:t>
      </w:r>
      <w:r w:rsidRPr="005756A6">
        <w:rPr>
          <w:rFonts w:ascii="Garamond" w:hAnsi="Garamond" w:cs="Times New Roman"/>
          <w:sz w:val="24"/>
          <w:szCs w:val="24"/>
        </w:rPr>
        <w:t>groups we created were (1) Odessa, Lubbock, and Amarillo, (2) Harlingen, Corpus Christi, and El Paso, (3) Abilene, San Angelo, and Wichita Falls, and (4) Beaumont, Waco, and Tyler.</w:t>
      </w:r>
      <w:r w:rsidRPr="005756A6">
        <w:rPr>
          <w:rStyle w:val="FootnoteReference"/>
          <w:rFonts w:ascii="Garamond" w:hAnsi="Garamond" w:cs="Times New Roman"/>
          <w:sz w:val="24"/>
          <w:szCs w:val="24"/>
        </w:rPr>
        <w:footnoteReference w:id="6"/>
      </w:r>
      <w:r w:rsidRPr="005756A6">
        <w:rPr>
          <w:rFonts w:ascii="Garamond" w:hAnsi="Garamond" w:cs="Times New Roman"/>
          <w:sz w:val="24"/>
          <w:szCs w:val="24"/>
        </w:rPr>
        <w:t xml:space="preserve"> The first market of each matched group was randomly designated as a treatment market for broadcast TV ads, as well as cable TV, Internet, mail, and some radio outreach; the second (also based on a random draw) </w:t>
      </w:r>
      <w:r w:rsidR="006E5FDD">
        <w:rPr>
          <w:rFonts w:ascii="Garamond" w:hAnsi="Garamond" w:cs="Times New Roman"/>
          <w:sz w:val="24"/>
          <w:szCs w:val="24"/>
        </w:rPr>
        <w:t xml:space="preserve">was </w:t>
      </w:r>
      <w:r w:rsidRPr="005756A6">
        <w:rPr>
          <w:rFonts w:ascii="Garamond" w:hAnsi="Garamond" w:cs="Times New Roman"/>
          <w:sz w:val="24"/>
          <w:szCs w:val="24"/>
        </w:rPr>
        <w:t xml:space="preserve">not subjected to broadcast TV ads, but was subject to cable TV, Internet, mail, and some radio outreach; the third was randomly designated as a control, with no campaigning at all.  To facilitate our analysis of targeted </w:t>
      </w:r>
      <w:r w:rsidRPr="005756A6">
        <w:rPr>
          <w:rFonts w:ascii="Garamond" w:hAnsi="Garamond" w:cs="Times New Roman"/>
          <w:sz w:val="24"/>
          <w:szCs w:val="24"/>
        </w:rPr>
        <w:lastRenderedPageBreak/>
        <w:t>television</w:t>
      </w:r>
      <w:r w:rsidR="00EF26B7">
        <w:rPr>
          <w:rFonts w:ascii="Garamond" w:hAnsi="Garamond" w:cs="Times New Roman"/>
          <w:sz w:val="24"/>
          <w:szCs w:val="24"/>
        </w:rPr>
        <w:t xml:space="preserve"> (see below)</w:t>
      </w:r>
      <w:r w:rsidRPr="005756A6">
        <w:rPr>
          <w:rFonts w:ascii="Garamond" w:hAnsi="Garamond" w:cs="Times New Roman"/>
          <w:sz w:val="24"/>
          <w:szCs w:val="24"/>
        </w:rPr>
        <w:t xml:space="preserve">, Midland and Harlingen were randomly assigned “targeted” broadcast television, while Abilene and Beaumont were randomly assigned “traditional” broadcast television.   </w:t>
      </w:r>
    </w:p>
    <w:p w14:paraId="309DA194" w14:textId="7AF1D33C" w:rsidR="00EC0874" w:rsidRPr="005756A6" w:rsidRDefault="00EC0874" w:rsidP="00E0456A">
      <w:pPr>
        <w:spacing w:after="0" w:line="480" w:lineRule="auto"/>
        <w:ind w:firstLine="720"/>
        <w:rPr>
          <w:rFonts w:ascii="Garamond" w:hAnsi="Garamond" w:cs="Times New Roman"/>
          <w:sz w:val="24"/>
          <w:szCs w:val="24"/>
        </w:rPr>
      </w:pPr>
      <w:r w:rsidRPr="005756A6">
        <w:rPr>
          <w:rFonts w:ascii="Garamond" w:hAnsi="Garamond" w:cs="Times New Roman"/>
          <w:sz w:val="24"/>
          <w:szCs w:val="24"/>
        </w:rPr>
        <w:t xml:space="preserve">At this point, we owe the reader a description of “targeted television” advertising. For years, viewership numbers for broadcast and cable television have been purchased by political campaigns from Nielsen, whose data are also used by television stations to determine advertising rates. These data are analyzed by candidates, who concentrate their ads during day-parts and on shows watched by targeted voters. But Nielsen’s demographic profiles and viewership estimates are not as detailed or as accurate as many campaigns prefer. Recently, consulting companies have begun to offer “targeted television advertising” buy plans, which purchase ads in specific day-parts and on shows based on Nielsen ratings </w:t>
      </w:r>
      <w:r w:rsidRPr="005756A6">
        <w:rPr>
          <w:rFonts w:ascii="Garamond" w:hAnsi="Garamond" w:cs="Times New Roman"/>
          <w:i/>
          <w:sz w:val="24"/>
          <w:szCs w:val="24"/>
        </w:rPr>
        <w:t>plus</w:t>
      </w:r>
      <w:r w:rsidRPr="005756A6">
        <w:rPr>
          <w:rFonts w:ascii="Garamond" w:hAnsi="Garamond" w:cs="Times New Roman"/>
          <w:sz w:val="24"/>
          <w:szCs w:val="24"/>
        </w:rPr>
        <w:t xml:space="preserve"> analyses of large surveys and commercial vendor lists. The practical consequence of targeted TV ad buys appears to be more advertisements placed on less-prominent, niche shows, such as “Community” or “Rookie Blue” (or, on cable, “Judge Joe Brown” for Democrats or “Friday Night Wrestling” for Republicans). Preliminary, unpublished research suggests that targeted </w:t>
      </w:r>
      <w:r w:rsidR="00ED51BC">
        <w:rPr>
          <w:rFonts w:ascii="Garamond" w:hAnsi="Garamond" w:cs="Times New Roman"/>
          <w:sz w:val="24"/>
          <w:szCs w:val="24"/>
        </w:rPr>
        <w:t>TV</w:t>
      </w:r>
      <w:r w:rsidRPr="005756A6">
        <w:rPr>
          <w:rFonts w:ascii="Garamond" w:hAnsi="Garamond" w:cs="Times New Roman"/>
          <w:sz w:val="24"/>
          <w:szCs w:val="24"/>
        </w:rPr>
        <w:t xml:space="preserve"> may be relatively better at influencing vote choice</w:t>
      </w:r>
      <w:r w:rsidR="00ED51BC">
        <w:rPr>
          <w:rFonts w:ascii="Garamond" w:hAnsi="Garamond" w:cs="Times New Roman"/>
          <w:sz w:val="24"/>
          <w:szCs w:val="24"/>
        </w:rPr>
        <w:t xml:space="preserve"> than traditional TV ad buys</w:t>
      </w:r>
      <w:r w:rsidRPr="005756A6">
        <w:rPr>
          <w:rFonts w:ascii="Garamond" w:hAnsi="Garamond" w:cs="Times New Roman"/>
          <w:sz w:val="24"/>
          <w:szCs w:val="24"/>
        </w:rPr>
        <w:t xml:space="preserve">. We suspect that this research is correct. In the past, targeted </w:t>
      </w:r>
      <w:r w:rsidR="00ED51BC">
        <w:rPr>
          <w:rFonts w:ascii="Garamond" w:hAnsi="Garamond" w:cs="Times New Roman"/>
          <w:sz w:val="24"/>
          <w:szCs w:val="24"/>
        </w:rPr>
        <w:t>TV</w:t>
      </w:r>
      <w:r w:rsidRPr="005756A6">
        <w:rPr>
          <w:rFonts w:ascii="Garamond" w:hAnsi="Garamond" w:cs="Times New Roman"/>
          <w:sz w:val="24"/>
          <w:szCs w:val="24"/>
        </w:rPr>
        <w:t xml:space="preserve"> has been an oxymoron, but the proliferation of viewing options coupled with better data on viewership could increase the ability of campaigns to focus their messages on the most receptive audiences and influence their behavior.  </w:t>
      </w:r>
    </w:p>
    <w:p w14:paraId="69AC527E" w14:textId="4B997102" w:rsidR="00EC0874" w:rsidRPr="005756A6" w:rsidRDefault="00EC0874" w:rsidP="002D6C93">
      <w:pPr>
        <w:spacing w:after="0" w:line="480" w:lineRule="auto"/>
        <w:rPr>
          <w:rFonts w:ascii="Garamond" w:hAnsi="Garamond" w:cs="Times New Roman"/>
          <w:sz w:val="24"/>
          <w:szCs w:val="24"/>
        </w:rPr>
      </w:pPr>
      <w:r w:rsidRPr="005756A6">
        <w:rPr>
          <w:rFonts w:ascii="Garamond" w:hAnsi="Garamond" w:cs="Times New Roman"/>
          <w:sz w:val="24"/>
          <w:szCs w:val="24"/>
        </w:rPr>
        <w:tab/>
        <w:t>After consulting with the campaign’s television team, the treatment was set at 600 targeted ratings points per week, for three weeks (February 12-March 4, 2012).</w:t>
      </w:r>
      <w:r w:rsidRPr="005756A6">
        <w:rPr>
          <w:rStyle w:val="FootnoteReference"/>
          <w:rFonts w:ascii="Garamond" w:hAnsi="Garamond" w:cs="Times New Roman"/>
          <w:sz w:val="24"/>
          <w:szCs w:val="24"/>
        </w:rPr>
        <w:footnoteReference w:id="7"/>
      </w:r>
      <w:r w:rsidRPr="005756A6">
        <w:rPr>
          <w:rFonts w:ascii="Garamond" w:hAnsi="Garamond" w:cs="Times New Roman"/>
          <w:sz w:val="24"/>
          <w:szCs w:val="24"/>
        </w:rPr>
        <w:t xml:space="preserve"> Two spots were alternated in each of the treatment markets. The first, entitled “Never Stop Fighting,” was a 30-second ad focusing on Abbott’s personal and professional history. The ad notes that he was paralyzed by a tragic accident and plays up Abbott’s clashes (as Texas’s Attorney General) with President Obama </w:t>
      </w:r>
      <w:r w:rsidRPr="005756A6">
        <w:rPr>
          <w:rFonts w:ascii="Garamond" w:hAnsi="Garamond" w:cs="Times New Roman"/>
          <w:sz w:val="24"/>
          <w:szCs w:val="24"/>
        </w:rPr>
        <w:lastRenderedPageBreak/>
        <w:t>on second amendment issues.</w:t>
      </w:r>
      <w:r w:rsidRPr="005756A6">
        <w:rPr>
          <w:rStyle w:val="FootnoteReference"/>
          <w:rFonts w:ascii="Garamond" w:hAnsi="Garamond" w:cs="Times New Roman"/>
          <w:sz w:val="24"/>
          <w:szCs w:val="24"/>
        </w:rPr>
        <w:footnoteReference w:id="8"/>
      </w:r>
      <w:r w:rsidRPr="005756A6">
        <w:rPr>
          <w:rFonts w:ascii="Garamond" w:hAnsi="Garamond" w:cs="Times New Roman"/>
          <w:sz w:val="24"/>
          <w:szCs w:val="24"/>
        </w:rPr>
        <w:t xml:space="preserve"> The second, “No More Gimmicks,” lambasts Texas politicians for collecting taxes for roads, education, and public safety, and then spending these funds on other things.  </w:t>
      </w:r>
    </w:p>
    <w:p w14:paraId="0620A7A7" w14:textId="6DC0E97B" w:rsidR="00EC0874" w:rsidRPr="005756A6" w:rsidRDefault="00EC0874" w:rsidP="002D6C93">
      <w:pPr>
        <w:spacing w:after="0" w:line="480" w:lineRule="auto"/>
        <w:rPr>
          <w:rFonts w:ascii="Garamond" w:hAnsi="Garamond" w:cs="Times New Roman"/>
          <w:sz w:val="24"/>
          <w:szCs w:val="24"/>
        </w:rPr>
      </w:pPr>
      <w:r w:rsidRPr="005756A6">
        <w:rPr>
          <w:rFonts w:ascii="Garamond" w:hAnsi="Garamond" w:cs="Times New Roman"/>
          <w:sz w:val="24"/>
          <w:szCs w:val="24"/>
        </w:rPr>
        <w:tab/>
        <w:t xml:space="preserve">The cable television experiment necessarily differs from its broadcast TV counterpart. Initially, we </w:t>
      </w:r>
      <w:r w:rsidR="00B84BF1">
        <w:rPr>
          <w:rFonts w:ascii="Garamond" w:hAnsi="Garamond" w:cs="Times New Roman"/>
          <w:sz w:val="24"/>
          <w:szCs w:val="24"/>
        </w:rPr>
        <w:t xml:space="preserve">sorted </w:t>
      </w:r>
      <w:r w:rsidRPr="005756A6">
        <w:rPr>
          <w:rFonts w:ascii="Garamond" w:hAnsi="Garamond" w:cs="Times New Roman"/>
          <w:sz w:val="24"/>
          <w:szCs w:val="24"/>
        </w:rPr>
        <w:t xml:space="preserve">zip codes from the eight “non-control” markets—Odessa, Lubbock, Harlingen, Corpus Christi, Abilene, San Angelo, Beaumont, and Waco—into </w:t>
      </w:r>
      <w:r w:rsidR="00B84BF1">
        <w:rPr>
          <w:rFonts w:ascii="Garamond" w:hAnsi="Garamond" w:cs="Times New Roman"/>
          <w:sz w:val="24"/>
          <w:szCs w:val="24"/>
        </w:rPr>
        <w:t xml:space="preserve">matched </w:t>
      </w:r>
      <w:r w:rsidRPr="005756A6">
        <w:rPr>
          <w:rFonts w:ascii="Garamond" w:hAnsi="Garamond" w:cs="Times New Roman"/>
          <w:sz w:val="24"/>
          <w:szCs w:val="24"/>
        </w:rPr>
        <w:t>pairs based on the same demographic and political characteristics we used to identify media market clusters.</w:t>
      </w:r>
      <w:r w:rsidRPr="005756A6">
        <w:rPr>
          <w:rStyle w:val="FootnoteReference"/>
          <w:rFonts w:ascii="Garamond" w:hAnsi="Garamond" w:cs="Times New Roman"/>
          <w:sz w:val="24"/>
          <w:szCs w:val="24"/>
        </w:rPr>
        <w:footnoteReference w:id="9"/>
      </w:r>
      <w:r w:rsidRPr="005756A6">
        <w:rPr>
          <w:rFonts w:ascii="Garamond" w:hAnsi="Garamond" w:cs="Times New Roman"/>
          <w:sz w:val="24"/>
          <w:szCs w:val="24"/>
        </w:rPr>
        <w:t xml:space="preserve"> For each of these 31 pairs, one was randomly designated to receive cable TV ads, and the other was designated as a control.  Cable TV ads were then aired in the treatment zones, and voters in those zones were compared to voters in the matched control zones. </w:t>
      </w:r>
    </w:p>
    <w:p w14:paraId="12E5A430" w14:textId="57C7856F" w:rsidR="00EC0874" w:rsidRPr="005756A6" w:rsidRDefault="00EC0874" w:rsidP="005F022D">
      <w:pPr>
        <w:spacing w:after="0" w:line="480" w:lineRule="auto"/>
        <w:ind w:firstLine="720"/>
        <w:rPr>
          <w:rFonts w:ascii="Garamond" w:hAnsi="Garamond" w:cs="Times New Roman"/>
          <w:sz w:val="24"/>
          <w:szCs w:val="24"/>
        </w:rPr>
      </w:pPr>
      <w:r w:rsidRPr="005756A6">
        <w:rPr>
          <w:rFonts w:ascii="Garamond" w:hAnsi="Garamond" w:cs="Times New Roman"/>
          <w:sz w:val="24"/>
          <w:szCs w:val="24"/>
        </w:rPr>
        <w:t xml:space="preserve">Some aspects of the cable TV ad test, however, are similar to the broadcast test. As with broadcast </w:t>
      </w:r>
      <w:r w:rsidR="00B84BF1">
        <w:rPr>
          <w:rFonts w:ascii="Garamond" w:hAnsi="Garamond" w:cs="Times New Roman"/>
          <w:sz w:val="24"/>
          <w:szCs w:val="24"/>
        </w:rPr>
        <w:t>TV</w:t>
      </w:r>
      <w:r w:rsidRPr="005756A6">
        <w:rPr>
          <w:rFonts w:ascii="Garamond" w:hAnsi="Garamond" w:cs="Times New Roman"/>
          <w:sz w:val="24"/>
          <w:szCs w:val="24"/>
        </w:rPr>
        <w:t xml:space="preserve">, the Abbott campaign wanted to test the relative effectiveness of targeted ad buys, so whether cable TV ads were targeted or traditional was randomly determined for each of the treated cable zones. In addition, the same two 30-second spots that ran on broadcast </w:t>
      </w:r>
      <w:r w:rsidR="00B84BF1">
        <w:rPr>
          <w:rFonts w:ascii="Garamond" w:hAnsi="Garamond" w:cs="Times New Roman"/>
          <w:sz w:val="24"/>
          <w:szCs w:val="24"/>
        </w:rPr>
        <w:t>TV</w:t>
      </w:r>
      <w:r w:rsidRPr="005756A6">
        <w:rPr>
          <w:rFonts w:ascii="Garamond" w:hAnsi="Garamond" w:cs="Times New Roman"/>
          <w:sz w:val="24"/>
          <w:szCs w:val="24"/>
        </w:rPr>
        <w:t xml:space="preserve"> also alternated on cable.  </w:t>
      </w:r>
    </w:p>
    <w:p w14:paraId="0ED874F2" w14:textId="1C56CA0E" w:rsidR="00EC0874" w:rsidRPr="005756A6" w:rsidRDefault="00EC0874" w:rsidP="002D6C93">
      <w:pPr>
        <w:spacing w:after="0" w:line="480" w:lineRule="auto"/>
        <w:rPr>
          <w:rFonts w:ascii="Garamond" w:hAnsi="Garamond" w:cs="Times New Roman"/>
          <w:sz w:val="24"/>
          <w:szCs w:val="24"/>
        </w:rPr>
      </w:pPr>
      <w:r w:rsidRPr="005756A6">
        <w:rPr>
          <w:rFonts w:ascii="Garamond" w:hAnsi="Garamond" w:cs="Times New Roman"/>
          <w:sz w:val="24"/>
          <w:szCs w:val="24"/>
        </w:rPr>
        <w:tab/>
        <w:t>The radio test was constructed to parallel the broadcast TV tests, only without a “targeted” versus “traditional” aspect. One market from each of the four clusters—</w:t>
      </w:r>
      <w:r w:rsidR="00B84BF1">
        <w:rPr>
          <w:rFonts w:ascii="Garamond" w:hAnsi="Garamond" w:cs="Times New Roman"/>
          <w:sz w:val="24"/>
          <w:szCs w:val="24"/>
        </w:rPr>
        <w:t xml:space="preserve">specifically, </w:t>
      </w:r>
      <w:r w:rsidRPr="005756A6">
        <w:rPr>
          <w:rFonts w:ascii="Garamond" w:hAnsi="Garamond" w:cs="Times New Roman"/>
          <w:sz w:val="24"/>
          <w:szCs w:val="24"/>
        </w:rPr>
        <w:t xml:space="preserve">Abilene, Corpus Christi, Lubbock, and Waco—was randomly designated for radio advertisements. These </w:t>
      </w:r>
      <w:r w:rsidRPr="005756A6">
        <w:rPr>
          <w:rFonts w:ascii="Garamond" w:hAnsi="Garamond" w:cs="Times New Roman"/>
          <w:sz w:val="24"/>
          <w:szCs w:val="24"/>
        </w:rPr>
        <w:lastRenderedPageBreak/>
        <w:t xml:space="preserve">were treated with 600 points per week for three weeks (February 12-March 4). The radio tests consisted of a single 60-second radio ad, entitled “Preserve, Protect, and Defend,” which details the accident that paralyzed Abbott, the offices that he has held, and his advocacy for Texas in the face of the Obama Administration, the EPA, and “federal overreach.”      </w:t>
      </w:r>
    </w:p>
    <w:p w14:paraId="210B2189" w14:textId="77777777" w:rsidR="00EC0874" w:rsidRPr="005756A6" w:rsidRDefault="00EC0874" w:rsidP="002D6C93">
      <w:pPr>
        <w:spacing w:after="0" w:line="480" w:lineRule="auto"/>
        <w:rPr>
          <w:rFonts w:ascii="Garamond" w:hAnsi="Garamond" w:cs="Times New Roman"/>
          <w:sz w:val="24"/>
          <w:szCs w:val="24"/>
          <w:u w:val="single"/>
        </w:rPr>
      </w:pPr>
    </w:p>
    <w:p w14:paraId="43125265" w14:textId="77777777" w:rsidR="00EC0874" w:rsidRPr="005756A6" w:rsidRDefault="00EC0874" w:rsidP="002D6C93">
      <w:pPr>
        <w:spacing w:after="0" w:line="480" w:lineRule="auto"/>
        <w:rPr>
          <w:rFonts w:ascii="Garamond" w:hAnsi="Garamond" w:cs="Times New Roman"/>
          <w:sz w:val="24"/>
          <w:szCs w:val="24"/>
          <w:u w:val="single"/>
        </w:rPr>
      </w:pPr>
      <w:r w:rsidRPr="005756A6">
        <w:rPr>
          <w:rFonts w:ascii="Garamond" w:hAnsi="Garamond" w:cs="Times New Roman"/>
          <w:sz w:val="24"/>
          <w:szCs w:val="24"/>
          <w:u w:val="single"/>
        </w:rPr>
        <w:t>Internet, Pre-Roll, and Facebook</w:t>
      </w:r>
    </w:p>
    <w:p w14:paraId="1AA6E404" w14:textId="7487DC60" w:rsidR="00EC0874" w:rsidRPr="005756A6" w:rsidRDefault="00EC0874" w:rsidP="002D6C93">
      <w:pPr>
        <w:spacing w:after="0" w:line="480" w:lineRule="auto"/>
        <w:rPr>
          <w:rFonts w:ascii="Garamond" w:hAnsi="Garamond" w:cs="Times New Roman"/>
          <w:sz w:val="24"/>
          <w:szCs w:val="24"/>
        </w:rPr>
      </w:pPr>
      <w:r w:rsidRPr="005756A6">
        <w:rPr>
          <w:rFonts w:ascii="Garamond" w:hAnsi="Garamond" w:cs="Times New Roman"/>
          <w:sz w:val="24"/>
          <w:szCs w:val="24"/>
        </w:rPr>
        <w:tab/>
        <w:t xml:space="preserve">After consulting with Abbott’s digital team, we also tested three forms of online and social media outreach: Internet advertising, pre-roll advertising, and Facebook advertising. Internet advertising includes banner and sponsored ads which promote “click-throughs” to an online video. Pre-roll advertising is the video ad shown before a YouTube or other selected video. Facebook advertising invites those who “like” Greg Abbott to click-through to a video. For each of the online tests, the video links directed browsers to one of the two Abbott TV ads. </w:t>
      </w:r>
    </w:p>
    <w:p w14:paraId="30EFCD6D" w14:textId="03EB4226" w:rsidR="00EC0874" w:rsidRPr="005756A6" w:rsidRDefault="00EC0874" w:rsidP="00205443">
      <w:pPr>
        <w:spacing w:after="0" w:line="480" w:lineRule="auto"/>
        <w:ind w:firstLine="720"/>
        <w:rPr>
          <w:rFonts w:ascii="Garamond" w:hAnsi="Garamond" w:cs="Times New Roman"/>
          <w:sz w:val="24"/>
          <w:szCs w:val="24"/>
        </w:rPr>
      </w:pPr>
      <w:r w:rsidRPr="005756A6">
        <w:rPr>
          <w:rFonts w:ascii="Garamond" w:hAnsi="Garamond" w:cs="Times New Roman"/>
          <w:sz w:val="24"/>
          <w:szCs w:val="24"/>
        </w:rPr>
        <w:t>Although it is possible to target online advertising based on individual-level purchasing and browsing patterns, in 2014 almost all online political advertising was done by buying banner or side-bar ads on websites known to be frequented by targeted voters. In this way, online advertising is similar to TV or radio advertising. Because website ads vary by zip code—users with IP addresses in a specific zip code see ads associated with that zip code—Internet and pre-roll advertising treatments were each randomized at this level. Following the cable TV experiment design, we randomly assigned one of each matched zip code pair to the treatment group and the other to the control group. We then compared the attitudes and behaviors of those in the treatment zip codes to those in the control zip codes.</w:t>
      </w:r>
    </w:p>
    <w:p w14:paraId="7AA8952D" w14:textId="5B67D779" w:rsidR="00EC0874" w:rsidRPr="005756A6" w:rsidRDefault="00EC0874" w:rsidP="005A0734">
      <w:pPr>
        <w:spacing w:after="0" w:line="480" w:lineRule="auto"/>
        <w:ind w:firstLine="720"/>
        <w:rPr>
          <w:rFonts w:ascii="Garamond" w:hAnsi="Garamond" w:cs="Times New Roman"/>
          <w:sz w:val="24"/>
          <w:szCs w:val="24"/>
        </w:rPr>
      </w:pPr>
      <w:r w:rsidRPr="005756A6">
        <w:rPr>
          <w:rFonts w:ascii="Garamond" w:hAnsi="Garamond" w:cs="Times New Roman"/>
          <w:sz w:val="24"/>
          <w:szCs w:val="24"/>
        </w:rPr>
        <w:t xml:space="preserve">Unlike other online ads, Facebook advertising treatments were each randomized at the individual level, as those who “liked” Greg Abbott were randomly assigned into either the treatment </w:t>
      </w:r>
      <w:r w:rsidRPr="005756A6">
        <w:rPr>
          <w:rFonts w:ascii="Garamond" w:hAnsi="Garamond" w:cs="Times New Roman"/>
          <w:sz w:val="24"/>
          <w:szCs w:val="24"/>
        </w:rPr>
        <w:lastRenderedPageBreak/>
        <w:t>or control groups. Note that the Facebook experiment is thus limited to those who have expressed an interest in Abbott.</w:t>
      </w:r>
    </w:p>
    <w:p w14:paraId="306FE399" w14:textId="77777777" w:rsidR="00EC0874" w:rsidRPr="005756A6" w:rsidRDefault="00EC0874" w:rsidP="002D6C93">
      <w:pPr>
        <w:spacing w:after="0" w:line="480" w:lineRule="auto"/>
        <w:rPr>
          <w:rFonts w:ascii="Garamond" w:hAnsi="Garamond" w:cs="Times New Roman"/>
          <w:sz w:val="24"/>
          <w:szCs w:val="24"/>
        </w:rPr>
      </w:pPr>
    </w:p>
    <w:p w14:paraId="4F7B2EFC" w14:textId="77777777" w:rsidR="00EC0874" w:rsidRPr="005756A6" w:rsidRDefault="00EC0874" w:rsidP="002D6C93">
      <w:pPr>
        <w:spacing w:after="0" w:line="480" w:lineRule="auto"/>
        <w:rPr>
          <w:rFonts w:ascii="Garamond" w:hAnsi="Garamond" w:cs="Times New Roman"/>
          <w:sz w:val="24"/>
          <w:szCs w:val="24"/>
          <w:u w:val="single"/>
        </w:rPr>
      </w:pPr>
      <w:r w:rsidRPr="005756A6">
        <w:rPr>
          <w:rFonts w:ascii="Garamond" w:hAnsi="Garamond" w:cs="Times New Roman"/>
          <w:sz w:val="24"/>
          <w:szCs w:val="24"/>
          <w:u w:val="single"/>
        </w:rPr>
        <w:t>Direct Mail</w:t>
      </w:r>
    </w:p>
    <w:p w14:paraId="43C6618C" w14:textId="1CCC5FFB" w:rsidR="00EC0874" w:rsidRPr="005756A6" w:rsidRDefault="00EC0874" w:rsidP="002D6C93">
      <w:pPr>
        <w:spacing w:after="0" w:line="480" w:lineRule="auto"/>
        <w:ind w:firstLine="720"/>
        <w:rPr>
          <w:rFonts w:ascii="Garamond" w:hAnsi="Garamond" w:cs="Times New Roman"/>
          <w:sz w:val="24"/>
          <w:szCs w:val="24"/>
        </w:rPr>
      </w:pPr>
      <w:r w:rsidRPr="005756A6">
        <w:rPr>
          <w:rFonts w:ascii="Garamond" w:hAnsi="Garamond" w:cs="Times New Roman"/>
          <w:sz w:val="24"/>
          <w:szCs w:val="24"/>
        </w:rPr>
        <w:t>Although the Abbott campaign was especially interested in the broadcast and online tests, they also agreed to include experiments for direct mail. To test these effects, 500,000 households in the target universe (described below) were randomly selected to receive mail while another 500,000 randomly selected households received no mail. Within the treatment universe, individuals received four mail pieces: the first was a generic piece stating that exercising your right to vote helps keep Texas great, the second questioned Davis’s claim that she’d be a “pro-life” governor, and the third and fourth presented the individual with their voter turnout record and urged them to participate in the upcoming primary.</w:t>
      </w:r>
    </w:p>
    <w:p w14:paraId="371C1BFB" w14:textId="77777777" w:rsidR="005756A6" w:rsidRDefault="005756A6" w:rsidP="002D6C93">
      <w:pPr>
        <w:spacing w:after="0" w:line="480" w:lineRule="auto"/>
        <w:rPr>
          <w:rFonts w:ascii="Garamond" w:hAnsi="Garamond" w:cs="Times New Roman"/>
          <w:sz w:val="24"/>
          <w:szCs w:val="24"/>
          <w:u w:val="single"/>
        </w:rPr>
      </w:pPr>
    </w:p>
    <w:p w14:paraId="68226ADB" w14:textId="77777777" w:rsidR="00EC0874" w:rsidRPr="005756A6" w:rsidRDefault="00EC0874" w:rsidP="002D6C93">
      <w:pPr>
        <w:spacing w:after="0" w:line="480" w:lineRule="auto"/>
        <w:rPr>
          <w:rFonts w:ascii="Garamond" w:hAnsi="Garamond" w:cs="Times New Roman"/>
          <w:sz w:val="24"/>
          <w:szCs w:val="24"/>
          <w:u w:val="single"/>
        </w:rPr>
      </w:pPr>
      <w:r w:rsidRPr="005756A6">
        <w:rPr>
          <w:rFonts w:ascii="Garamond" w:hAnsi="Garamond" w:cs="Times New Roman"/>
          <w:sz w:val="24"/>
          <w:szCs w:val="24"/>
          <w:u w:val="single"/>
        </w:rPr>
        <w:t>A Few Notes on the Design</w:t>
      </w:r>
    </w:p>
    <w:p w14:paraId="0B6A3844" w14:textId="55D3E965" w:rsidR="00EC0874" w:rsidRPr="005756A6" w:rsidRDefault="00EC0874" w:rsidP="002D6C93">
      <w:pPr>
        <w:spacing w:after="0" w:line="480" w:lineRule="auto"/>
        <w:rPr>
          <w:rFonts w:ascii="Garamond" w:hAnsi="Garamond" w:cs="Times New Roman"/>
          <w:sz w:val="24"/>
          <w:szCs w:val="24"/>
        </w:rPr>
      </w:pPr>
      <w:r w:rsidRPr="005756A6">
        <w:rPr>
          <w:rFonts w:ascii="Garamond" w:hAnsi="Garamond" w:cs="Times New Roman"/>
          <w:sz w:val="24"/>
          <w:szCs w:val="24"/>
        </w:rPr>
        <w:tab/>
        <w:t xml:space="preserve">Several features of the design merit additional comment. First, the professionals designed the outreach. As noted earlier, Abbott’s television team produced and aired two advertisements, while the radio team produced and aired a single 60 second spot. Similarly, the digital team produced unique online ads encouraging people to “click through” to Abbott videos, and the mail vendors designed all four direct mail pieces.  </w:t>
      </w:r>
    </w:p>
    <w:p w14:paraId="04FD40FA" w14:textId="053A5AA4" w:rsidR="00EC0874" w:rsidRPr="005756A6" w:rsidRDefault="00EC0874" w:rsidP="002D6C93">
      <w:pPr>
        <w:spacing w:after="0" w:line="480" w:lineRule="auto"/>
        <w:ind w:firstLine="720"/>
        <w:rPr>
          <w:rFonts w:ascii="Garamond" w:hAnsi="Garamond" w:cs="Times New Roman"/>
          <w:sz w:val="24"/>
          <w:szCs w:val="24"/>
        </w:rPr>
      </w:pPr>
      <w:r w:rsidRPr="005756A6">
        <w:rPr>
          <w:rFonts w:ascii="Garamond" w:hAnsi="Garamond" w:cs="Times New Roman"/>
          <w:sz w:val="24"/>
          <w:szCs w:val="24"/>
        </w:rPr>
        <w:t xml:space="preserve">Second, the leaders of the Abbott campaign specifically instructed the professionals to submit budgets that would “allow them to do what they needed to in order to produce an impact.” In other words, there was a concerted effort to allow those being examined to put forth their best work with sufficient force and repetition. The campaign eventually approved all submitted budgets, </w:t>
      </w:r>
      <w:r w:rsidRPr="005756A6">
        <w:rPr>
          <w:rFonts w:ascii="Garamond" w:hAnsi="Garamond" w:cs="Times New Roman"/>
          <w:sz w:val="24"/>
          <w:szCs w:val="24"/>
        </w:rPr>
        <w:lastRenderedPageBreak/>
        <w:t xml:space="preserve">including approximately $600,000 for broadcast television, $337,000 for cable television, $205,000 for radio, $227,000 for online, and $182,000 for direct mail. </w:t>
      </w:r>
    </w:p>
    <w:p w14:paraId="02B27A1C" w14:textId="0AF50C3C" w:rsidR="00EC0874" w:rsidRPr="005756A6" w:rsidRDefault="00EC0874" w:rsidP="002D6C93">
      <w:pPr>
        <w:spacing w:after="0" w:line="480" w:lineRule="auto"/>
        <w:rPr>
          <w:rFonts w:ascii="Garamond" w:hAnsi="Garamond" w:cs="Times New Roman"/>
          <w:sz w:val="24"/>
          <w:szCs w:val="24"/>
        </w:rPr>
      </w:pPr>
      <w:r w:rsidRPr="005756A6">
        <w:rPr>
          <w:rFonts w:ascii="Garamond" w:hAnsi="Garamond" w:cs="Times New Roman"/>
          <w:sz w:val="24"/>
          <w:szCs w:val="24"/>
        </w:rPr>
        <w:tab/>
        <w:t>Third, while messages were strikingly consistent across treatments, there were differences owing to both mode and intent. For example, the final mail piece emphasized specifics about when and where to vote. Also, the Facebook and Internet advertisements (and one mailer) included negative mentions of Wendy Davis, whereas other modes were devoid of any reference to the likely Democratic nominee.</w:t>
      </w:r>
      <w:r w:rsidRPr="005756A6">
        <w:rPr>
          <w:rStyle w:val="FootnoteReference"/>
          <w:rFonts w:ascii="Garamond" w:hAnsi="Garamond" w:cs="Times New Roman"/>
          <w:sz w:val="24"/>
          <w:szCs w:val="24"/>
        </w:rPr>
        <w:footnoteReference w:id="10"/>
      </w:r>
      <w:r w:rsidRPr="005756A6">
        <w:rPr>
          <w:rFonts w:ascii="Garamond" w:hAnsi="Garamond" w:cs="Times New Roman"/>
          <w:sz w:val="24"/>
          <w:szCs w:val="24"/>
        </w:rPr>
        <w:t xml:space="preserve"> We made a judgment call here to allow the “real world” directive to trump complete message consistency (which we judged impossible due to mode differences anyway). It is therefore possible that effect differences noted here are partly due to message rather than exclusively due to mode.    </w:t>
      </w:r>
    </w:p>
    <w:p w14:paraId="64323922" w14:textId="443406B7" w:rsidR="00EC0874" w:rsidRPr="005756A6" w:rsidRDefault="00EC0874" w:rsidP="002D6C93">
      <w:pPr>
        <w:spacing w:after="0" w:line="480" w:lineRule="auto"/>
        <w:rPr>
          <w:rFonts w:ascii="Garamond" w:hAnsi="Garamond" w:cs="Times New Roman"/>
          <w:sz w:val="24"/>
          <w:szCs w:val="24"/>
        </w:rPr>
      </w:pPr>
      <w:r w:rsidRPr="005756A6">
        <w:rPr>
          <w:rFonts w:ascii="Garamond" w:hAnsi="Garamond" w:cs="Times New Roman"/>
          <w:sz w:val="24"/>
          <w:szCs w:val="24"/>
        </w:rPr>
        <w:tab/>
        <w:t xml:space="preserve">Finally, the universe under analysis did not include all registered voters. Notably, registrants from the top four media markets were set aside. For 2014, the Texas voter file contained just over 14 million records, of which roughly six million were from the non-major media markets. Of these six million records, over two million were in areas designated to receive campaign treatments. Furthermore, across these over two million records the experiments focused on the half of the voter file most likely to turn out </w:t>
      </w:r>
      <w:r w:rsidRPr="005756A6">
        <w:rPr>
          <w:rFonts w:ascii="Garamond" w:hAnsi="Garamond" w:cs="Times New Roman"/>
          <w:i/>
          <w:sz w:val="24"/>
          <w:szCs w:val="24"/>
        </w:rPr>
        <w:t>and</w:t>
      </w:r>
      <w:r w:rsidRPr="005756A6">
        <w:rPr>
          <w:rFonts w:ascii="Garamond" w:hAnsi="Garamond" w:cs="Times New Roman"/>
          <w:sz w:val="24"/>
          <w:szCs w:val="24"/>
        </w:rPr>
        <w:t xml:space="preserve"> support Abbott (the “top fifty percent”).</w:t>
      </w:r>
      <w:r w:rsidRPr="005756A6">
        <w:rPr>
          <w:rStyle w:val="FootnoteReference"/>
          <w:rFonts w:ascii="Garamond" w:hAnsi="Garamond" w:cs="Times New Roman"/>
          <w:sz w:val="24"/>
          <w:szCs w:val="24"/>
        </w:rPr>
        <w:footnoteReference w:id="11"/>
      </w:r>
      <w:r w:rsidRPr="005756A6">
        <w:rPr>
          <w:rFonts w:ascii="Garamond" w:hAnsi="Garamond" w:cs="Times New Roman"/>
          <w:sz w:val="24"/>
          <w:szCs w:val="24"/>
        </w:rPr>
        <w:t xml:space="preserve"> This was an accommodation to the realities of the campaign; the Abbott people did not want to “waste” outreach and measurement on those least likely to cast a ballot for him. That said, there is some advantage to this design, especially with respect to turnout. Campaigns do not attempt to increase </w:t>
      </w:r>
      <w:r w:rsidRPr="005756A6">
        <w:rPr>
          <w:rFonts w:ascii="Garamond" w:hAnsi="Garamond" w:cs="Times New Roman"/>
          <w:sz w:val="24"/>
          <w:szCs w:val="24"/>
        </w:rPr>
        <w:lastRenderedPageBreak/>
        <w:t xml:space="preserve">turnout across the board; rather, they attempt to increase turnout among people with a decent chance of voting for their candidate. Thus, we focus on that segment of the electorate where both persuasive and (especially) mobilization effects are most plausible. All told, over one million voters were identified for treatment, with seven modes being tested (broadcast television, cable television, radio, internet advertising, Facebook advertising, pre-roll advertising, and mail). </w:t>
      </w:r>
    </w:p>
    <w:p w14:paraId="221F0996" w14:textId="77777777" w:rsidR="00EC0874" w:rsidRPr="005756A6" w:rsidRDefault="00EC0874" w:rsidP="002D6C93">
      <w:pPr>
        <w:spacing w:after="0" w:line="480" w:lineRule="auto"/>
        <w:rPr>
          <w:rFonts w:ascii="Garamond" w:hAnsi="Garamond" w:cs="Times New Roman"/>
          <w:sz w:val="24"/>
          <w:szCs w:val="24"/>
        </w:rPr>
      </w:pPr>
    </w:p>
    <w:p w14:paraId="2B3EE0DF" w14:textId="77777777" w:rsidR="00EC0874" w:rsidRPr="005756A6" w:rsidRDefault="00EC0874" w:rsidP="002D6C93">
      <w:pPr>
        <w:spacing w:after="0" w:line="480" w:lineRule="auto"/>
        <w:rPr>
          <w:rFonts w:ascii="Garamond" w:hAnsi="Garamond" w:cs="Times New Roman"/>
          <w:sz w:val="24"/>
          <w:szCs w:val="24"/>
          <w:u w:val="single"/>
        </w:rPr>
      </w:pPr>
      <w:r w:rsidRPr="005756A6">
        <w:rPr>
          <w:rFonts w:ascii="Garamond" w:hAnsi="Garamond" w:cs="Times New Roman"/>
          <w:sz w:val="24"/>
          <w:szCs w:val="24"/>
          <w:u w:val="single"/>
        </w:rPr>
        <w:t>Measuring Effects</w:t>
      </w:r>
    </w:p>
    <w:p w14:paraId="2645A5E7" w14:textId="5D600E9B" w:rsidR="00EC0874" w:rsidRPr="005756A6" w:rsidRDefault="00EC0874" w:rsidP="002D6C93">
      <w:pPr>
        <w:spacing w:after="0" w:line="480" w:lineRule="auto"/>
        <w:ind w:firstLine="720"/>
        <w:rPr>
          <w:rFonts w:ascii="Garamond" w:hAnsi="Garamond" w:cs="Times New Roman"/>
          <w:sz w:val="24"/>
          <w:szCs w:val="24"/>
        </w:rPr>
      </w:pPr>
      <w:r w:rsidRPr="005756A6">
        <w:rPr>
          <w:rFonts w:ascii="Garamond" w:hAnsi="Garamond" w:cs="Times New Roman"/>
          <w:sz w:val="24"/>
          <w:szCs w:val="24"/>
        </w:rPr>
        <w:t>To test the effects of campaigning, we conducted pre- and post-election surveys (to measure changes in attitudes towards the candidate) and we examined an updated, post-election voter file (to measure turnout). The telephone surveys (a) were automated, (b) targeted a randomized subset of voters in Abbott’s “top fifty percent,” and (c) confined themselves to voters residing outside the state’s four largest media markets. Respondents were asked to rate Abbott and Davis, to register their candidate preference in the Republican Primary election, to indicate whether they had “read, seen, or heard anything from the Abbott campaign for governor in the last week,” and to record their gender, age, and party identification; it is undiscernible from the survey whether the sponsor is pro- or anti-Abbott. The pre-election survey encompassed 4,198 respondents, while the post-election survey included 2,968 respondents. The response rates were 10 percent and 9 percent, respectively, and the data were weighted to a demographic profile of Texas (minus the four major media markets) derived from exit polls of previous statewide primary elections.</w:t>
      </w:r>
      <w:r w:rsidRPr="005756A6">
        <w:rPr>
          <w:rStyle w:val="FootnoteReference"/>
          <w:rFonts w:ascii="Garamond" w:hAnsi="Garamond" w:cs="Times New Roman"/>
          <w:sz w:val="24"/>
          <w:szCs w:val="24"/>
        </w:rPr>
        <w:footnoteReference w:id="12"/>
      </w:r>
      <w:r w:rsidRPr="005756A6">
        <w:rPr>
          <w:rFonts w:ascii="Garamond" w:hAnsi="Garamond" w:cs="Times New Roman"/>
          <w:sz w:val="24"/>
          <w:szCs w:val="24"/>
        </w:rPr>
        <w:t xml:space="preserve"> </w:t>
      </w:r>
    </w:p>
    <w:p w14:paraId="4D6910B2" w14:textId="3E6BF59F" w:rsidR="00EC0874" w:rsidRPr="005756A6" w:rsidRDefault="00EC0874" w:rsidP="002D6C93">
      <w:pPr>
        <w:spacing w:after="0" w:line="480" w:lineRule="auto"/>
        <w:ind w:firstLine="720"/>
        <w:rPr>
          <w:rFonts w:ascii="Garamond" w:hAnsi="Garamond" w:cs="Times New Roman"/>
          <w:sz w:val="24"/>
          <w:szCs w:val="24"/>
        </w:rPr>
      </w:pPr>
      <w:r w:rsidRPr="005756A6">
        <w:rPr>
          <w:rFonts w:ascii="Garamond" w:hAnsi="Garamond" w:cs="Times New Roman"/>
          <w:sz w:val="24"/>
          <w:szCs w:val="24"/>
        </w:rPr>
        <w:lastRenderedPageBreak/>
        <w:t xml:space="preserve">Note that by relying on a post-election survey, the effects we estimate are, by definition, durable. As discussed earlier, this is consequential because recent studies strongly indicate that campaign effects are often transitory and decay quickly (Gerber, et al., 2010). </w:t>
      </w:r>
    </w:p>
    <w:p w14:paraId="58FA4F0E" w14:textId="3C719E03" w:rsidR="00EC0874" w:rsidRPr="005756A6" w:rsidRDefault="00EC0874" w:rsidP="002D6C93">
      <w:pPr>
        <w:spacing w:after="0" w:line="480" w:lineRule="auto"/>
        <w:ind w:firstLine="720"/>
        <w:rPr>
          <w:rFonts w:ascii="Garamond" w:hAnsi="Garamond" w:cs="Times New Roman"/>
          <w:sz w:val="24"/>
          <w:szCs w:val="24"/>
        </w:rPr>
      </w:pPr>
      <w:r w:rsidRPr="005756A6">
        <w:rPr>
          <w:rFonts w:ascii="Garamond" w:hAnsi="Garamond" w:cs="Times New Roman"/>
          <w:sz w:val="24"/>
          <w:szCs w:val="24"/>
        </w:rPr>
        <w:t>To gauge the effects of different types of campaign outreach, we use a form of ANOVA called multiple classification analysis (MCA), while controlling for potential covariates. MCA examines the relationships between several categorical independent variables and a single dependent variable, and determines the effects of each predictor before and after adjus</w:t>
      </w:r>
      <w:r w:rsidRPr="005756A6">
        <w:rPr>
          <w:rFonts w:ascii="Garamond" w:hAnsi="Garamond" w:cs="Times New Roman"/>
          <w:sz w:val="24"/>
          <w:szCs w:val="24"/>
        </w:rPr>
        <w:softHyphen/>
        <w:t>tment for its inter-correlations with other predictors in the analysis. As a practical matter, MCA allows the assessment of differences in subgroup means after adjusting for compositional differences in related factors and/or covariates. MCA produces virtually identical overall results compared to multiple logistic regression with dummy variables, but with a much more naturally interpretable output.</w:t>
      </w:r>
      <w:r w:rsidRPr="005756A6">
        <w:rPr>
          <w:rStyle w:val="FootnoteReference"/>
          <w:rFonts w:ascii="Garamond" w:hAnsi="Garamond" w:cs="Times New Roman"/>
          <w:sz w:val="24"/>
          <w:szCs w:val="24"/>
        </w:rPr>
        <w:footnoteReference w:id="13"/>
      </w:r>
      <w:r w:rsidRPr="005756A6">
        <w:rPr>
          <w:rFonts w:ascii="Garamond" w:hAnsi="Garamond" w:cs="Times New Roman"/>
          <w:sz w:val="24"/>
          <w:szCs w:val="24"/>
        </w:rPr>
        <w:t xml:space="preserve"> </w:t>
      </w:r>
    </w:p>
    <w:p w14:paraId="15B7B883" w14:textId="4284B3E4" w:rsidR="00EC0874" w:rsidRPr="005756A6" w:rsidRDefault="00EC0874" w:rsidP="002D6C93">
      <w:pPr>
        <w:spacing w:after="0" w:line="480" w:lineRule="auto"/>
        <w:rPr>
          <w:rFonts w:ascii="Garamond" w:hAnsi="Garamond" w:cs="Times New Roman"/>
          <w:sz w:val="24"/>
          <w:szCs w:val="24"/>
        </w:rPr>
      </w:pPr>
      <w:r w:rsidRPr="005756A6">
        <w:rPr>
          <w:rFonts w:ascii="Garamond" w:hAnsi="Garamond" w:cs="Times New Roman"/>
          <w:sz w:val="24"/>
          <w:szCs w:val="24"/>
        </w:rPr>
        <w:tab/>
        <w:t xml:space="preserve">Controlling for potential covariates is a particular concern here because the assignment of some treatments was done at an aggregate level and may not have produced statistically identical treatment and control groups. In fact, preliminary diagnostic tests indicate modest individual-level </w:t>
      </w:r>
      <w:r w:rsidRPr="005756A6">
        <w:rPr>
          <w:rFonts w:ascii="Garamond" w:hAnsi="Garamond" w:cs="Times New Roman"/>
          <w:sz w:val="24"/>
          <w:szCs w:val="24"/>
        </w:rPr>
        <w:lastRenderedPageBreak/>
        <w:t>imbalances by age, with stronger imbalances by party identification and turnout propensity, necessitating appropriate controls for these factors in the final models.</w:t>
      </w:r>
      <w:r w:rsidRPr="005756A6">
        <w:rPr>
          <w:rStyle w:val="FootnoteReference"/>
          <w:rFonts w:ascii="Garamond" w:hAnsi="Garamond" w:cs="Times New Roman"/>
          <w:sz w:val="24"/>
          <w:szCs w:val="24"/>
        </w:rPr>
        <w:footnoteReference w:id="14"/>
      </w:r>
      <w:r w:rsidRPr="005756A6">
        <w:rPr>
          <w:rFonts w:ascii="Garamond" w:hAnsi="Garamond" w:cs="Times New Roman"/>
          <w:sz w:val="24"/>
          <w:szCs w:val="24"/>
        </w:rPr>
        <w:t xml:space="preserve">  </w:t>
      </w:r>
    </w:p>
    <w:p w14:paraId="7778ED54" w14:textId="77777777" w:rsidR="00EC0874" w:rsidRPr="005756A6" w:rsidRDefault="00EC0874" w:rsidP="00707E13">
      <w:pPr>
        <w:spacing w:after="0" w:line="480" w:lineRule="auto"/>
        <w:rPr>
          <w:rFonts w:ascii="Garamond" w:hAnsi="Garamond" w:cs="Times New Roman"/>
          <w:b/>
          <w:sz w:val="24"/>
          <w:szCs w:val="24"/>
        </w:rPr>
      </w:pPr>
    </w:p>
    <w:p w14:paraId="398F61D7" w14:textId="77777777" w:rsidR="00EC0874" w:rsidRPr="005756A6" w:rsidRDefault="00EC0874" w:rsidP="00707E13">
      <w:pPr>
        <w:spacing w:after="0" w:line="480" w:lineRule="auto"/>
        <w:rPr>
          <w:rFonts w:ascii="Garamond" w:hAnsi="Garamond" w:cs="Times New Roman"/>
          <w:b/>
          <w:sz w:val="24"/>
          <w:szCs w:val="24"/>
        </w:rPr>
      </w:pPr>
      <w:r w:rsidRPr="005756A6">
        <w:rPr>
          <w:rFonts w:ascii="Garamond" w:hAnsi="Garamond" w:cs="Times New Roman"/>
          <w:b/>
          <w:sz w:val="24"/>
          <w:szCs w:val="24"/>
        </w:rPr>
        <w:t>Results</w:t>
      </w:r>
    </w:p>
    <w:p w14:paraId="46E6615D" w14:textId="4A1B0491" w:rsidR="00EC0874" w:rsidRPr="005756A6" w:rsidRDefault="00EC0874" w:rsidP="00792B51">
      <w:pPr>
        <w:spacing w:after="0" w:line="480" w:lineRule="auto"/>
        <w:rPr>
          <w:rFonts w:ascii="Garamond" w:hAnsi="Garamond" w:cs="Times New Roman"/>
          <w:sz w:val="24"/>
          <w:szCs w:val="24"/>
        </w:rPr>
      </w:pPr>
      <w:r w:rsidRPr="005756A6">
        <w:rPr>
          <w:rFonts w:ascii="Garamond" w:hAnsi="Garamond" w:cs="Times New Roman"/>
          <w:sz w:val="24"/>
          <w:szCs w:val="24"/>
        </w:rPr>
        <w:tab/>
        <w:t>The overall aggregate effects of the Abbott campaign experiments are presented in Table 1. In sum, the campaign clearly had a positive and statistically significant impact. In the treatment markets, we see that Abbott’s net favorable rating (% favorable - % unfavorable) increased by 7 points; to compare, in the control group his rating actually went down a point. Similarly, among respondents in the treatment markets, Abbott’s net advantage in the trial ballot increased by 12 points from the pre- to post-election survey (from +34 to +46 points). He also improved in the control markets, but only by about 6 points. In addition, in the treatment markets the “yes – no” margin on the question of whether they had recently “read, seen, or heard” something from the Abbott campaign increased by 41 points over the course of the three-week project. Among voters in the control group, the margin also changed in a positive direction, but by only 16 points.</w:t>
      </w:r>
      <w:r w:rsidRPr="005756A6">
        <w:rPr>
          <w:rStyle w:val="FootnoteReference"/>
          <w:rFonts w:ascii="Garamond" w:hAnsi="Garamond" w:cs="Times New Roman"/>
          <w:sz w:val="24"/>
          <w:szCs w:val="24"/>
        </w:rPr>
        <w:footnoteReference w:id="15"/>
      </w:r>
      <w:r w:rsidRPr="005756A6">
        <w:rPr>
          <w:rFonts w:ascii="Garamond" w:hAnsi="Garamond" w:cs="Times New Roman"/>
          <w:sz w:val="24"/>
          <w:szCs w:val="24"/>
        </w:rPr>
        <w:t xml:space="preserve"> </w:t>
      </w:r>
      <w:r w:rsidR="005B223D">
        <w:rPr>
          <w:rFonts w:ascii="Garamond" w:hAnsi="Garamond" w:cs="Times New Roman"/>
          <w:sz w:val="24"/>
          <w:szCs w:val="24"/>
        </w:rPr>
        <w:t>More broadly, t</w:t>
      </w:r>
      <w:r w:rsidRPr="005756A6">
        <w:rPr>
          <w:rFonts w:ascii="Garamond" w:hAnsi="Garamond" w:cs="Times New Roman"/>
          <w:sz w:val="24"/>
          <w:szCs w:val="24"/>
        </w:rPr>
        <w:t xml:space="preserve">he overall aggregate effects of the campaign experiment </w:t>
      </w:r>
      <w:r w:rsidR="005B223D">
        <w:rPr>
          <w:rFonts w:ascii="Garamond" w:hAnsi="Garamond" w:cs="Times New Roman"/>
          <w:sz w:val="24"/>
          <w:szCs w:val="24"/>
        </w:rPr>
        <w:t xml:space="preserve">can be gleaned from the </w:t>
      </w:r>
      <w:r w:rsidRPr="005756A6">
        <w:rPr>
          <w:rFonts w:ascii="Garamond" w:hAnsi="Garamond" w:cs="Times New Roman"/>
          <w:sz w:val="24"/>
          <w:szCs w:val="24"/>
        </w:rPr>
        <w:t>treatment-to-control difference</w:t>
      </w:r>
      <w:r w:rsidR="005B223D">
        <w:rPr>
          <w:rFonts w:ascii="Garamond" w:hAnsi="Garamond" w:cs="Times New Roman"/>
          <w:sz w:val="24"/>
          <w:szCs w:val="24"/>
        </w:rPr>
        <w:t>s: +</w:t>
      </w:r>
      <w:r w:rsidRPr="005756A6">
        <w:rPr>
          <w:rFonts w:ascii="Garamond" w:hAnsi="Garamond" w:cs="Times New Roman"/>
          <w:sz w:val="24"/>
          <w:szCs w:val="24"/>
        </w:rPr>
        <w:t xml:space="preserve">8 points on Abbott’s net favorability and </w:t>
      </w:r>
      <w:r w:rsidR="005B223D">
        <w:rPr>
          <w:rFonts w:ascii="Garamond" w:hAnsi="Garamond" w:cs="Times New Roman"/>
          <w:sz w:val="24"/>
          <w:szCs w:val="24"/>
        </w:rPr>
        <w:t>+</w:t>
      </w:r>
      <w:r w:rsidRPr="005756A6">
        <w:rPr>
          <w:rFonts w:ascii="Garamond" w:hAnsi="Garamond" w:cs="Times New Roman"/>
          <w:sz w:val="24"/>
          <w:szCs w:val="24"/>
        </w:rPr>
        <w:t>6 points on the Republican primary ballot.</w:t>
      </w:r>
    </w:p>
    <w:p w14:paraId="67A5809A" w14:textId="301228D7" w:rsidR="00EC0874" w:rsidRPr="005756A6" w:rsidRDefault="00EC0874" w:rsidP="009B3012">
      <w:pPr>
        <w:spacing w:after="0" w:line="480" w:lineRule="auto"/>
        <w:jc w:val="center"/>
        <w:rPr>
          <w:rFonts w:ascii="Garamond" w:hAnsi="Garamond" w:cs="Times New Roman"/>
          <w:sz w:val="24"/>
          <w:szCs w:val="24"/>
        </w:rPr>
      </w:pPr>
      <w:r w:rsidRPr="005756A6">
        <w:rPr>
          <w:rFonts w:ascii="Garamond" w:hAnsi="Garamond" w:cs="Times New Roman"/>
          <w:sz w:val="24"/>
          <w:szCs w:val="24"/>
        </w:rPr>
        <w:t>[Table 1 about here]</w:t>
      </w:r>
    </w:p>
    <w:p w14:paraId="73DD4AD9" w14:textId="77777777" w:rsidR="00422B28" w:rsidRDefault="00422B28" w:rsidP="002D6C93">
      <w:pPr>
        <w:spacing w:after="0" w:line="480" w:lineRule="auto"/>
        <w:rPr>
          <w:rFonts w:ascii="Garamond" w:hAnsi="Garamond" w:cs="Times New Roman"/>
          <w:sz w:val="24"/>
          <w:szCs w:val="24"/>
          <w:u w:val="single"/>
        </w:rPr>
      </w:pPr>
    </w:p>
    <w:p w14:paraId="0B8D555B" w14:textId="77777777" w:rsidR="00422B28" w:rsidRDefault="00422B28" w:rsidP="002D6C93">
      <w:pPr>
        <w:spacing w:after="0" w:line="480" w:lineRule="auto"/>
        <w:rPr>
          <w:rFonts w:ascii="Garamond" w:hAnsi="Garamond" w:cs="Times New Roman"/>
          <w:sz w:val="24"/>
          <w:szCs w:val="24"/>
          <w:u w:val="single"/>
        </w:rPr>
      </w:pPr>
    </w:p>
    <w:p w14:paraId="6D616E36" w14:textId="1D43BBD3" w:rsidR="00EC0874" w:rsidRPr="005756A6" w:rsidRDefault="00EC0874" w:rsidP="002D6C93">
      <w:pPr>
        <w:spacing w:after="0" w:line="480" w:lineRule="auto"/>
        <w:rPr>
          <w:rFonts w:ascii="Garamond" w:hAnsi="Garamond" w:cs="Times New Roman"/>
          <w:sz w:val="24"/>
          <w:szCs w:val="24"/>
          <w:u w:val="single"/>
        </w:rPr>
      </w:pPr>
      <w:r w:rsidRPr="005756A6">
        <w:rPr>
          <w:rFonts w:ascii="Garamond" w:hAnsi="Garamond" w:cs="Times New Roman"/>
          <w:sz w:val="24"/>
          <w:szCs w:val="24"/>
          <w:u w:val="single"/>
        </w:rPr>
        <w:lastRenderedPageBreak/>
        <w:t>Effects on Candidate Favorability</w:t>
      </w:r>
    </w:p>
    <w:p w14:paraId="0C4365CB" w14:textId="64FDF435" w:rsidR="002C71FD" w:rsidRPr="005756A6" w:rsidRDefault="00EC0874" w:rsidP="002C71FD">
      <w:pPr>
        <w:spacing w:after="0" w:line="480" w:lineRule="auto"/>
        <w:rPr>
          <w:rFonts w:ascii="Garamond" w:hAnsi="Garamond" w:cs="Times New Roman"/>
          <w:sz w:val="24"/>
          <w:szCs w:val="24"/>
        </w:rPr>
      </w:pPr>
      <w:r w:rsidRPr="005756A6">
        <w:rPr>
          <w:rFonts w:ascii="Garamond" w:hAnsi="Garamond" w:cs="Times New Roman"/>
          <w:sz w:val="24"/>
          <w:szCs w:val="24"/>
        </w:rPr>
        <w:tab/>
        <w:t>Given the nature of the Abbott study, simple comparisons are instructive but cannot be considered dispositive. More to the point, it is important to control for potential attitudinal and demographic imbalances between voters in treatment and control markets. Focusing on the post-election survey and the measure of net favorability towards Abbott, the MCA estimates a 7.8 point difference between those in treatment markets (+30.3, favorable - unfavorable) and those in control markets (+22.5). This difference is statistically significant (p&lt;0.01) and could be regarded as an estimate of the overall effect of three weeks of campaigning. We hasten to observe that the estimated effect is not across the entire electorate; rather, it is for voters in Abbott’s “top fifty percent.” Still, even if the effect were zero across all other voters the total impact would still be close to four points.</w:t>
      </w:r>
      <w:r w:rsidRPr="005756A6">
        <w:rPr>
          <w:rStyle w:val="FootnoteReference"/>
          <w:rFonts w:ascii="Garamond" w:hAnsi="Garamond" w:cs="Times New Roman"/>
          <w:sz w:val="24"/>
          <w:szCs w:val="24"/>
        </w:rPr>
        <w:t xml:space="preserve"> </w:t>
      </w:r>
      <w:r w:rsidRPr="005756A6">
        <w:rPr>
          <w:rStyle w:val="FootnoteReference"/>
          <w:rFonts w:ascii="Garamond" w:hAnsi="Garamond" w:cs="Times New Roman"/>
          <w:sz w:val="24"/>
          <w:szCs w:val="24"/>
        </w:rPr>
        <w:footnoteReference w:id="16"/>
      </w:r>
      <w:r w:rsidRPr="005756A6">
        <w:rPr>
          <w:rFonts w:ascii="Garamond" w:hAnsi="Garamond" w:cs="Times New Roman"/>
          <w:sz w:val="24"/>
          <w:szCs w:val="24"/>
        </w:rPr>
        <w:t xml:space="preserve"> </w:t>
      </w:r>
      <w:r w:rsidR="00C95850" w:rsidRPr="005756A6">
        <w:rPr>
          <w:rFonts w:ascii="Garamond" w:hAnsi="Garamond" w:cs="Times New Roman"/>
          <w:sz w:val="24"/>
          <w:szCs w:val="24"/>
        </w:rPr>
        <w:t xml:space="preserve">As with the </w:t>
      </w:r>
      <w:r w:rsidR="00893922" w:rsidRPr="005756A6">
        <w:rPr>
          <w:rFonts w:ascii="Garamond" w:hAnsi="Garamond" w:cs="Times New Roman"/>
          <w:sz w:val="24"/>
          <w:szCs w:val="24"/>
        </w:rPr>
        <w:t xml:space="preserve">earlier comparison of </w:t>
      </w:r>
      <w:r w:rsidR="00C95850" w:rsidRPr="005756A6">
        <w:rPr>
          <w:rFonts w:ascii="Garamond" w:hAnsi="Garamond" w:cs="Times New Roman"/>
          <w:sz w:val="24"/>
          <w:szCs w:val="24"/>
        </w:rPr>
        <w:t xml:space="preserve">pre- to post-survey </w:t>
      </w:r>
      <w:r w:rsidR="00893922" w:rsidRPr="005756A6">
        <w:rPr>
          <w:rFonts w:ascii="Garamond" w:hAnsi="Garamond" w:cs="Times New Roman"/>
          <w:sz w:val="24"/>
          <w:szCs w:val="24"/>
        </w:rPr>
        <w:t>results</w:t>
      </w:r>
      <w:r w:rsidR="00C95850" w:rsidRPr="005756A6">
        <w:rPr>
          <w:rFonts w:ascii="Garamond" w:hAnsi="Garamond" w:cs="Times New Roman"/>
          <w:sz w:val="24"/>
          <w:szCs w:val="24"/>
        </w:rPr>
        <w:t>, t</w:t>
      </w:r>
      <w:r w:rsidR="002C71FD" w:rsidRPr="005756A6">
        <w:rPr>
          <w:rFonts w:ascii="Garamond" w:hAnsi="Garamond" w:cs="Times New Roman"/>
          <w:sz w:val="24"/>
          <w:szCs w:val="24"/>
        </w:rPr>
        <w:t xml:space="preserve">his constitutes a significant, durable effect—one that is consistent with our first expectation about the overall </w:t>
      </w:r>
      <w:r w:rsidR="00893922" w:rsidRPr="005756A6">
        <w:rPr>
          <w:rFonts w:ascii="Garamond" w:hAnsi="Garamond" w:cs="Times New Roman"/>
          <w:sz w:val="24"/>
          <w:szCs w:val="24"/>
        </w:rPr>
        <w:t xml:space="preserve">persuasive </w:t>
      </w:r>
      <w:r w:rsidR="002C71FD" w:rsidRPr="005756A6">
        <w:rPr>
          <w:rFonts w:ascii="Garamond" w:hAnsi="Garamond" w:cs="Times New Roman"/>
          <w:sz w:val="24"/>
          <w:szCs w:val="24"/>
        </w:rPr>
        <w:t>impact of the campaign.</w:t>
      </w:r>
    </w:p>
    <w:p w14:paraId="70E471D9" w14:textId="0A3A2DD0" w:rsidR="004C428A" w:rsidRPr="005756A6" w:rsidRDefault="00875B1C" w:rsidP="005840C3">
      <w:pPr>
        <w:spacing w:after="0" w:line="480" w:lineRule="auto"/>
        <w:ind w:firstLine="720"/>
        <w:rPr>
          <w:rFonts w:ascii="Garamond" w:hAnsi="Garamond" w:cs="Times New Roman"/>
          <w:sz w:val="24"/>
          <w:szCs w:val="24"/>
        </w:rPr>
      </w:pPr>
      <w:r w:rsidRPr="005756A6">
        <w:rPr>
          <w:rFonts w:ascii="Garamond" w:hAnsi="Garamond" w:cs="Times New Roman"/>
          <w:sz w:val="24"/>
          <w:szCs w:val="24"/>
        </w:rPr>
        <w:t xml:space="preserve">Figure </w:t>
      </w:r>
      <w:r w:rsidR="00870C5E">
        <w:rPr>
          <w:rFonts w:ascii="Garamond" w:hAnsi="Garamond" w:cs="Times New Roman"/>
          <w:sz w:val="24"/>
          <w:szCs w:val="24"/>
        </w:rPr>
        <w:t>1</w:t>
      </w:r>
      <w:r w:rsidRPr="005756A6">
        <w:rPr>
          <w:rFonts w:ascii="Garamond" w:hAnsi="Garamond" w:cs="Times New Roman"/>
          <w:sz w:val="24"/>
          <w:szCs w:val="24"/>
        </w:rPr>
        <w:t xml:space="preserve"> shows the </w:t>
      </w:r>
      <w:r w:rsidR="00870C5E">
        <w:rPr>
          <w:rFonts w:ascii="Garamond" w:hAnsi="Garamond" w:cs="Times New Roman"/>
          <w:sz w:val="24"/>
          <w:szCs w:val="24"/>
        </w:rPr>
        <w:t>impa</w:t>
      </w:r>
      <w:r w:rsidR="00670D61" w:rsidRPr="005756A6">
        <w:rPr>
          <w:rFonts w:ascii="Garamond" w:hAnsi="Garamond" w:cs="Times New Roman"/>
          <w:sz w:val="24"/>
          <w:szCs w:val="24"/>
        </w:rPr>
        <w:t xml:space="preserve">ct of </w:t>
      </w:r>
      <w:r w:rsidR="005840C3" w:rsidRPr="005756A6">
        <w:rPr>
          <w:rFonts w:ascii="Garamond" w:hAnsi="Garamond" w:cs="Times New Roman"/>
          <w:sz w:val="24"/>
          <w:szCs w:val="24"/>
        </w:rPr>
        <w:t>different</w:t>
      </w:r>
      <w:r w:rsidR="00670D61" w:rsidRPr="005756A6">
        <w:rPr>
          <w:rFonts w:ascii="Garamond" w:hAnsi="Garamond" w:cs="Times New Roman"/>
          <w:sz w:val="24"/>
          <w:szCs w:val="24"/>
        </w:rPr>
        <w:t xml:space="preserve"> </w:t>
      </w:r>
      <w:r w:rsidR="005840C3" w:rsidRPr="005756A6">
        <w:rPr>
          <w:rFonts w:ascii="Garamond" w:hAnsi="Garamond" w:cs="Times New Roman"/>
          <w:sz w:val="24"/>
          <w:szCs w:val="24"/>
        </w:rPr>
        <w:t xml:space="preserve">forms of </w:t>
      </w:r>
      <w:r w:rsidR="00670D61" w:rsidRPr="005756A6">
        <w:rPr>
          <w:rFonts w:ascii="Garamond" w:hAnsi="Garamond" w:cs="Times New Roman"/>
          <w:sz w:val="24"/>
          <w:szCs w:val="24"/>
        </w:rPr>
        <w:t>campaign</w:t>
      </w:r>
      <w:r w:rsidR="005840C3" w:rsidRPr="005756A6">
        <w:rPr>
          <w:rFonts w:ascii="Garamond" w:hAnsi="Garamond" w:cs="Times New Roman"/>
          <w:sz w:val="24"/>
          <w:szCs w:val="24"/>
        </w:rPr>
        <w:t>ing</w:t>
      </w:r>
      <w:r w:rsidR="00DE56DC" w:rsidRPr="005756A6">
        <w:rPr>
          <w:rFonts w:ascii="Garamond" w:hAnsi="Garamond" w:cs="Times New Roman"/>
          <w:sz w:val="24"/>
          <w:szCs w:val="24"/>
        </w:rPr>
        <w:t>—con</w:t>
      </w:r>
      <w:r w:rsidR="00001561" w:rsidRPr="005756A6">
        <w:rPr>
          <w:rFonts w:ascii="Garamond" w:hAnsi="Garamond" w:cs="Times New Roman"/>
          <w:sz w:val="24"/>
          <w:szCs w:val="24"/>
        </w:rPr>
        <w:t>trolling for demographic</w:t>
      </w:r>
      <w:r w:rsidR="00DE56DC" w:rsidRPr="005756A6">
        <w:rPr>
          <w:rFonts w:ascii="Garamond" w:hAnsi="Garamond" w:cs="Times New Roman"/>
          <w:sz w:val="24"/>
          <w:szCs w:val="24"/>
        </w:rPr>
        <w:t xml:space="preserve"> and </w:t>
      </w:r>
      <w:r w:rsidR="00001561" w:rsidRPr="005756A6">
        <w:rPr>
          <w:rFonts w:ascii="Garamond" w:hAnsi="Garamond" w:cs="Times New Roman"/>
          <w:sz w:val="24"/>
          <w:szCs w:val="24"/>
        </w:rPr>
        <w:t>attitudinal covariates</w:t>
      </w:r>
      <w:r w:rsidR="00DE56DC" w:rsidRPr="005756A6">
        <w:rPr>
          <w:rFonts w:ascii="Garamond" w:hAnsi="Garamond" w:cs="Times New Roman"/>
          <w:sz w:val="24"/>
          <w:szCs w:val="24"/>
        </w:rPr>
        <w:t xml:space="preserve">, as well as other treatments—within </w:t>
      </w:r>
      <w:r w:rsidR="00001561" w:rsidRPr="005756A6">
        <w:rPr>
          <w:rFonts w:ascii="Garamond" w:hAnsi="Garamond" w:cs="Times New Roman"/>
          <w:sz w:val="24"/>
          <w:szCs w:val="24"/>
        </w:rPr>
        <w:t xml:space="preserve">the treatment </w:t>
      </w:r>
      <w:r w:rsidR="00870C5E">
        <w:rPr>
          <w:rFonts w:ascii="Garamond" w:hAnsi="Garamond" w:cs="Times New Roman"/>
          <w:sz w:val="24"/>
          <w:szCs w:val="24"/>
        </w:rPr>
        <w:t>markets</w:t>
      </w:r>
      <w:r w:rsidR="00001561" w:rsidRPr="005756A6">
        <w:rPr>
          <w:rFonts w:ascii="Garamond" w:hAnsi="Garamond" w:cs="Times New Roman"/>
          <w:sz w:val="24"/>
          <w:szCs w:val="24"/>
        </w:rPr>
        <w:t xml:space="preserve"> (the </w:t>
      </w:r>
      <w:r w:rsidR="00E60302" w:rsidRPr="005756A6">
        <w:rPr>
          <w:rFonts w:ascii="Garamond" w:hAnsi="Garamond" w:cs="Times New Roman"/>
          <w:sz w:val="24"/>
          <w:szCs w:val="24"/>
        </w:rPr>
        <w:t>four</w:t>
      </w:r>
      <w:r w:rsidR="00001561" w:rsidRPr="005756A6">
        <w:rPr>
          <w:rFonts w:ascii="Garamond" w:hAnsi="Garamond" w:cs="Times New Roman"/>
          <w:sz w:val="24"/>
          <w:szCs w:val="24"/>
        </w:rPr>
        <w:t xml:space="preserve"> control markets are excluded from this analysis)</w:t>
      </w:r>
      <w:r w:rsidR="00670D61" w:rsidRPr="005756A6">
        <w:rPr>
          <w:rFonts w:ascii="Garamond" w:hAnsi="Garamond" w:cs="Times New Roman"/>
          <w:sz w:val="24"/>
          <w:szCs w:val="24"/>
        </w:rPr>
        <w:t xml:space="preserve">. </w:t>
      </w:r>
      <w:r w:rsidR="00833DD4" w:rsidRPr="005756A6">
        <w:rPr>
          <w:rFonts w:ascii="Garamond" w:hAnsi="Garamond" w:cs="Times New Roman"/>
          <w:sz w:val="24"/>
          <w:szCs w:val="24"/>
        </w:rPr>
        <w:t xml:space="preserve">Here </w:t>
      </w:r>
      <w:r w:rsidR="003A0DCD" w:rsidRPr="005756A6">
        <w:rPr>
          <w:rFonts w:ascii="Garamond" w:hAnsi="Garamond" w:cs="Times New Roman"/>
          <w:sz w:val="24"/>
          <w:szCs w:val="24"/>
        </w:rPr>
        <w:t xml:space="preserve">we compare the MCA’s estimated </w:t>
      </w:r>
      <w:r w:rsidR="00DE56DC" w:rsidRPr="005756A6">
        <w:rPr>
          <w:rFonts w:ascii="Garamond" w:hAnsi="Garamond" w:cs="Times New Roman"/>
          <w:sz w:val="24"/>
          <w:szCs w:val="24"/>
        </w:rPr>
        <w:t xml:space="preserve">net favorability rating </w:t>
      </w:r>
      <w:r w:rsidR="003A0DCD" w:rsidRPr="005756A6">
        <w:rPr>
          <w:rFonts w:ascii="Garamond" w:hAnsi="Garamond" w:cs="Times New Roman"/>
          <w:sz w:val="24"/>
          <w:szCs w:val="24"/>
        </w:rPr>
        <w:t>for Abbott within the treatment group to the calculated baseline (</w:t>
      </w:r>
      <w:r w:rsidR="00DE56DC" w:rsidRPr="005756A6">
        <w:rPr>
          <w:rFonts w:ascii="Garamond" w:hAnsi="Garamond" w:cs="Times New Roman"/>
          <w:sz w:val="24"/>
          <w:szCs w:val="24"/>
        </w:rPr>
        <w:t>+28.8</w:t>
      </w:r>
      <w:r w:rsidR="003A0DCD" w:rsidRPr="005756A6">
        <w:rPr>
          <w:rFonts w:ascii="Garamond" w:hAnsi="Garamond" w:cs="Times New Roman"/>
          <w:sz w:val="24"/>
          <w:szCs w:val="24"/>
        </w:rPr>
        <w:t xml:space="preserve"> favorable to unfavorable)</w:t>
      </w:r>
      <w:r w:rsidR="002C71FD" w:rsidRPr="005756A6">
        <w:rPr>
          <w:rFonts w:ascii="Garamond" w:hAnsi="Garamond" w:cs="Times New Roman"/>
          <w:sz w:val="24"/>
          <w:szCs w:val="24"/>
        </w:rPr>
        <w:t>:</w:t>
      </w:r>
      <w:r w:rsidR="00DE56DC" w:rsidRPr="005756A6">
        <w:rPr>
          <w:rFonts w:ascii="Garamond" w:hAnsi="Garamond" w:cs="Times New Roman"/>
          <w:sz w:val="24"/>
          <w:szCs w:val="24"/>
        </w:rPr>
        <w:t xml:space="preserve"> any</w:t>
      </w:r>
      <w:r w:rsidR="003A0DCD" w:rsidRPr="005756A6">
        <w:rPr>
          <w:rFonts w:ascii="Garamond" w:hAnsi="Garamond" w:cs="Times New Roman"/>
          <w:sz w:val="24"/>
          <w:szCs w:val="24"/>
        </w:rPr>
        <w:t xml:space="preserve"> number above zero </w:t>
      </w:r>
      <w:r w:rsidR="00670D61" w:rsidRPr="005756A6">
        <w:rPr>
          <w:rFonts w:ascii="Garamond" w:hAnsi="Garamond" w:cs="Times New Roman"/>
          <w:sz w:val="24"/>
          <w:szCs w:val="24"/>
        </w:rPr>
        <w:t xml:space="preserve">represents a positive effect, while anything </w:t>
      </w:r>
      <w:r w:rsidR="00DE56DC" w:rsidRPr="005756A6">
        <w:rPr>
          <w:rFonts w:ascii="Garamond" w:hAnsi="Garamond" w:cs="Times New Roman"/>
          <w:sz w:val="24"/>
          <w:szCs w:val="24"/>
        </w:rPr>
        <w:t xml:space="preserve">less </w:t>
      </w:r>
      <w:r w:rsidR="003A0DCD" w:rsidRPr="005756A6">
        <w:rPr>
          <w:rFonts w:ascii="Garamond" w:hAnsi="Garamond" w:cs="Times New Roman"/>
          <w:sz w:val="24"/>
          <w:szCs w:val="24"/>
        </w:rPr>
        <w:t xml:space="preserve">than zero </w:t>
      </w:r>
      <w:r w:rsidR="00670D61" w:rsidRPr="005756A6">
        <w:rPr>
          <w:rFonts w:ascii="Garamond" w:hAnsi="Garamond" w:cs="Times New Roman"/>
          <w:sz w:val="24"/>
          <w:szCs w:val="24"/>
        </w:rPr>
        <w:t xml:space="preserve">represents a </w:t>
      </w:r>
      <w:r w:rsidR="00BD63E5" w:rsidRPr="005756A6">
        <w:rPr>
          <w:rFonts w:ascii="Garamond" w:hAnsi="Garamond" w:cs="Times New Roman"/>
          <w:sz w:val="24"/>
          <w:szCs w:val="24"/>
        </w:rPr>
        <w:t xml:space="preserve">less-positive </w:t>
      </w:r>
      <w:r w:rsidR="00670D61" w:rsidRPr="005756A6">
        <w:rPr>
          <w:rFonts w:ascii="Garamond" w:hAnsi="Garamond" w:cs="Times New Roman"/>
          <w:sz w:val="24"/>
          <w:szCs w:val="24"/>
        </w:rPr>
        <w:t>effect</w:t>
      </w:r>
      <w:r w:rsidR="00B4483B" w:rsidRPr="005756A6">
        <w:rPr>
          <w:rFonts w:ascii="Garamond" w:hAnsi="Garamond" w:cs="Times New Roman"/>
          <w:sz w:val="24"/>
          <w:szCs w:val="24"/>
        </w:rPr>
        <w:t xml:space="preserve">. </w:t>
      </w:r>
      <w:r w:rsidR="00204FE5" w:rsidRPr="005756A6">
        <w:rPr>
          <w:rFonts w:ascii="Garamond" w:hAnsi="Garamond" w:cs="Times New Roman"/>
          <w:sz w:val="24"/>
          <w:szCs w:val="24"/>
        </w:rPr>
        <w:t>Fo</w:t>
      </w:r>
      <w:r w:rsidR="006D215B" w:rsidRPr="005756A6">
        <w:rPr>
          <w:rFonts w:ascii="Garamond" w:hAnsi="Garamond" w:cs="Times New Roman"/>
          <w:sz w:val="24"/>
          <w:szCs w:val="24"/>
        </w:rPr>
        <w:t xml:space="preserve">r broadcast television, </w:t>
      </w:r>
      <w:r w:rsidR="00204FE5" w:rsidRPr="005756A6">
        <w:rPr>
          <w:rFonts w:ascii="Garamond" w:hAnsi="Garamond" w:cs="Times New Roman"/>
          <w:sz w:val="24"/>
          <w:szCs w:val="24"/>
        </w:rPr>
        <w:t xml:space="preserve">there are </w:t>
      </w:r>
      <w:r w:rsidR="006D215B" w:rsidRPr="005756A6">
        <w:rPr>
          <w:rFonts w:ascii="Garamond" w:hAnsi="Garamond" w:cs="Times New Roman"/>
          <w:sz w:val="24"/>
          <w:szCs w:val="24"/>
        </w:rPr>
        <w:t xml:space="preserve">three </w:t>
      </w:r>
      <w:r w:rsidR="00204FE5" w:rsidRPr="005756A6">
        <w:rPr>
          <w:rFonts w:ascii="Garamond" w:hAnsi="Garamond" w:cs="Times New Roman"/>
          <w:sz w:val="24"/>
          <w:szCs w:val="24"/>
        </w:rPr>
        <w:t>adjusted mean</w:t>
      </w:r>
      <w:r w:rsidR="00040EC1" w:rsidRPr="005756A6">
        <w:rPr>
          <w:rFonts w:ascii="Garamond" w:hAnsi="Garamond" w:cs="Times New Roman"/>
          <w:sz w:val="24"/>
          <w:szCs w:val="24"/>
        </w:rPr>
        <w:t xml:space="preserve"> scores</w:t>
      </w:r>
      <w:r w:rsidR="006D215B" w:rsidRPr="005756A6">
        <w:rPr>
          <w:rFonts w:ascii="Garamond" w:hAnsi="Garamond" w:cs="Times New Roman"/>
          <w:sz w:val="24"/>
          <w:szCs w:val="24"/>
        </w:rPr>
        <w:t xml:space="preserve">: </w:t>
      </w:r>
      <w:r w:rsidR="00346CD6" w:rsidRPr="005756A6">
        <w:rPr>
          <w:rFonts w:ascii="Garamond" w:hAnsi="Garamond" w:cs="Times New Roman"/>
          <w:sz w:val="24"/>
          <w:szCs w:val="24"/>
        </w:rPr>
        <w:t xml:space="preserve">the first is </w:t>
      </w:r>
      <w:r w:rsidR="006D215B" w:rsidRPr="005756A6">
        <w:rPr>
          <w:rFonts w:ascii="Garamond" w:hAnsi="Garamond" w:cs="Times New Roman"/>
          <w:sz w:val="24"/>
          <w:szCs w:val="24"/>
        </w:rPr>
        <w:t xml:space="preserve">for those who were in the targeted </w:t>
      </w:r>
      <w:r w:rsidR="00204FE5" w:rsidRPr="005756A6">
        <w:rPr>
          <w:rFonts w:ascii="Garamond" w:hAnsi="Garamond" w:cs="Times New Roman"/>
          <w:sz w:val="24"/>
          <w:szCs w:val="24"/>
        </w:rPr>
        <w:t xml:space="preserve">TV </w:t>
      </w:r>
      <w:r w:rsidR="006D215B" w:rsidRPr="005756A6">
        <w:rPr>
          <w:rFonts w:ascii="Garamond" w:hAnsi="Garamond" w:cs="Times New Roman"/>
          <w:sz w:val="24"/>
          <w:szCs w:val="24"/>
        </w:rPr>
        <w:t>markets</w:t>
      </w:r>
      <w:r w:rsidR="00040EC1" w:rsidRPr="005756A6">
        <w:rPr>
          <w:rFonts w:ascii="Garamond" w:hAnsi="Garamond" w:cs="Times New Roman"/>
          <w:sz w:val="24"/>
          <w:szCs w:val="24"/>
        </w:rPr>
        <w:t xml:space="preserve"> (+39.</w:t>
      </w:r>
      <w:r w:rsidR="009463F7" w:rsidRPr="005756A6">
        <w:rPr>
          <w:rFonts w:ascii="Garamond" w:hAnsi="Garamond" w:cs="Times New Roman"/>
          <w:sz w:val="24"/>
          <w:szCs w:val="24"/>
        </w:rPr>
        <w:t>2</w:t>
      </w:r>
      <w:r w:rsidR="00040EC1" w:rsidRPr="005756A6">
        <w:rPr>
          <w:rFonts w:ascii="Garamond" w:hAnsi="Garamond" w:cs="Times New Roman"/>
          <w:sz w:val="24"/>
          <w:szCs w:val="24"/>
        </w:rPr>
        <w:t xml:space="preserve">), </w:t>
      </w:r>
      <w:r w:rsidR="00346CD6" w:rsidRPr="005756A6">
        <w:rPr>
          <w:rFonts w:ascii="Garamond" w:hAnsi="Garamond" w:cs="Times New Roman"/>
          <w:sz w:val="24"/>
          <w:szCs w:val="24"/>
        </w:rPr>
        <w:t xml:space="preserve">the second is </w:t>
      </w:r>
      <w:r w:rsidR="00040EC1" w:rsidRPr="005756A6">
        <w:rPr>
          <w:rFonts w:ascii="Garamond" w:hAnsi="Garamond" w:cs="Times New Roman"/>
          <w:sz w:val="24"/>
          <w:szCs w:val="24"/>
        </w:rPr>
        <w:t xml:space="preserve">for those who were in the traditional </w:t>
      </w:r>
      <w:r w:rsidR="00204FE5" w:rsidRPr="005756A6">
        <w:rPr>
          <w:rFonts w:ascii="Garamond" w:hAnsi="Garamond" w:cs="Times New Roman"/>
          <w:sz w:val="24"/>
          <w:szCs w:val="24"/>
        </w:rPr>
        <w:t xml:space="preserve">TV </w:t>
      </w:r>
      <w:r w:rsidR="00040EC1" w:rsidRPr="005756A6">
        <w:rPr>
          <w:rFonts w:ascii="Garamond" w:hAnsi="Garamond" w:cs="Times New Roman"/>
          <w:sz w:val="24"/>
          <w:szCs w:val="24"/>
        </w:rPr>
        <w:t>markets (+28.</w:t>
      </w:r>
      <w:r w:rsidR="009463F7" w:rsidRPr="005756A6">
        <w:rPr>
          <w:rFonts w:ascii="Garamond" w:hAnsi="Garamond" w:cs="Times New Roman"/>
          <w:sz w:val="24"/>
          <w:szCs w:val="24"/>
        </w:rPr>
        <w:t>2</w:t>
      </w:r>
      <w:r w:rsidR="00040EC1" w:rsidRPr="005756A6">
        <w:rPr>
          <w:rFonts w:ascii="Garamond" w:hAnsi="Garamond" w:cs="Times New Roman"/>
          <w:sz w:val="24"/>
          <w:szCs w:val="24"/>
        </w:rPr>
        <w:t xml:space="preserve">), and </w:t>
      </w:r>
      <w:r w:rsidR="00346CD6" w:rsidRPr="005756A6">
        <w:rPr>
          <w:rFonts w:ascii="Garamond" w:hAnsi="Garamond" w:cs="Times New Roman"/>
          <w:sz w:val="24"/>
          <w:szCs w:val="24"/>
        </w:rPr>
        <w:t xml:space="preserve">the third is </w:t>
      </w:r>
      <w:r w:rsidR="00040EC1" w:rsidRPr="005756A6">
        <w:rPr>
          <w:rFonts w:ascii="Garamond" w:hAnsi="Garamond" w:cs="Times New Roman"/>
          <w:sz w:val="24"/>
          <w:szCs w:val="24"/>
        </w:rPr>
        <w:t xml:space="preserve">for those in the </w:t>
      </w:r>
      <w:r w:rsidR="00204FE5" w:rsidRPr="005756A6">
        <w:rPr>
          <w:rFonts w:ascii="Garamond" w:hAnsi="Garamond" w:cs="Times New Roman"/>
          <w:sz w:val="24"/>
          <w:szCs w:val="24"/>
        </w:rPr>
        <w:t xml:space="preserve">TV </w:t>
      </w:r>
      <w:r w:rsidR="00040EC1" w:rsidRPr="005756A6">
        <w:rPr>
          <w:rFonts w:ascii="Garamond" w:hAnsi="Garamond" w:cs="Times New Roman"/>
          <w:sz w:val="24"/>
          <w:szCs w:val="24"/>
        </w:rPr>
        <w:t>control markets (+25.</w:t>
      </w:r>
      <w:r w:rsidR="009463F7" w:rsidRPr="005756A6">
        <w:rPr>
          <w:rFonts w:ascii="Garamond" w:hAnsi="Garamond" w:cs="Times New Roman"/>
          <w:sz w:val="24"/>
          <w:szCs w:val="24"/>
        </w:rPr>
        <w:t>2</w:t>
      </w:r>
      <w:r w:rsidR="00040EC1" w:rsidRPr="005756A6">
        <w:rPr>
          <w:rFonts w:ascii="Garamond" w:hAnsi="Garamond" w:cs="Times New Roman"/>
          <w:sz w:val="24"/>
          <w:szCs w:val="24"/>
        </w:rPr>
        <w:t xml:space="preserve">). </w:t>
      </w:r>
      <w:r w:rsidR="002F022F" w:rsidRPr="005756A6">
        <w:rPr>
          <w:rFonts w:ascii="Garamond" w:hAnsi="Garamond" w:cs="Times New Roman"/>
          <w:sz w:val="24"/>
          <w:szCs w:val="24"/>
        </w:rPr>
        <w:lastRenderedPageBreak/>
        <w:t>Clearly, the targeted broadcast</w:t>
      </w:r>
      <w:r w:rsidR="00204FE5" w:rsidRPr="005756A6">
        <w:rPr>
          <w:rFonts w:ascii="Garamond" w:hAnsi="Garamond" w:cs="Times New Roman"/>
          <w:sz w:val="24"/>
          <w:szCs w:val="24"/>
        </w:rPr>
        <w:t xml:space="preserve"> TV</w:t>
      </w:r>
      <w:r w:rsidR="002F022F" w:rsidRPr="005756A6">
        <w:rPr>
          <w:rFonts w:ascii="Garamond" w:hAnsi="Garamond" w:cs="Times New Roman"/>
          <w:sz w:val="24"/>
          <w:szCs w:val="24"/>
        </w:rPr>
        <w:t xml:space="preserve"> ads had a substantial effect</w:t>
      </w:r>
      <w:r w:rsidR="00DC3DC5" w:rsidRPr="005756A6">
        <w:rPr>
          <w:rFonts w:ascii="Garamond" w:hAnsi="Garamond" w:cs="Times New Roman"/>
          <w:sz w:val="24"/>
          <w:szCs w:val="24"/>
        </w:rPr>
        <w:t xml:space="preserve"> compared to the control group</w:t>
      </w:r>
      <w:r w:rsidR="002F022F" w:rsidRPr="005756A6">
        <w:rPr>
          <w:rFonts w:ascii="Garamond" w:hAnsi="Garamond" w:cs="Times New Roman"/>
          <w:sz w:val="24"/>
          <w:szCs w:val="24"/>
        </w:rPr>
        <w:t xml:space="preserve">; </w:t>
      </w:r>
      <w:r w:rsidR="00346CD6" w:rsidRPr="005756A6">
        <w:rPr>
          <w:rFonts w:ascii="Garamond" w:hAnsi="Garamond" w:cs="Times New Roman"/>
          <w:sz w:val="24"/>
          <w:szCs w:val="24"/>
        </w:rPr>
        <w:t xml:space="preserve">the difference </w:t>
      </w:r>
      <w:r w:rsidR="002F022F" w:rsidRPr="005756A6">
        <w:rPr>
          <w:rFonts w:ascii="Garamond" w:hAnsi="Garamond" w:cs="Times New Roman"/>
          <w:sz w:val="24"/>
          <w:szCs w:val="24"/>
        </w:rPr>
        <w:t xml:space="preserve">is statistically significant at the 0.001 level. </w:t>
      </w:r>
      <w:r w:rsidR="00346CD6" w:rsidRPr="005756A6">
        <w:rPr>
          <w:rFonts w:ascii="Garamond" w:hAnsi="Garamond" w:cs="Times New Roman"/>
          <w:sz w:val="24"/>
          <w:szCs w:val="24"/>
        </w:rPr>
        <w:t xml:space="preserve">Indeed, it is the largest estimated </w:t>
      </w:r>
      <w:r w:rsidR="0016654D" w:rsidRPr="005756A6">
        <w:rPr>
          <w:rFonts w:ascii="Garamond" w:hAnsi="Garamond" w:cs="Times New Roman"/>
          <w:sz w:val="24"/>
          <w:szCs w:val="24"/>
        </w:rPr>
        <w:t xml:space="preserve">experimental effect in the project. </w:t>
      </w:r>
      <w:r w:rsidR="00064E04" w:rsidRPr="005756A6">
        <w:rPr>
          <w:rFonts w:ascii="Garamond" w:hAnsi="Garamond" w:cs="Times New Roman"/>
          <w:sz w:val="24"/>
          <w:szCs w:val="24"/>
        </w:rPr>
        <w:t xml:space="preserve">This result is </w:t>
      </w:r>
      <w:r w:rsidR="0016654D" w:rsidRPr="005756A6">
        <w:rPr>
          <w:rFonts w:ascii="Garamond" w:hAnsi="Garamond" w:cs="Times New Roman"/>
          <w:sz w:val="24"/>
          <w:szCs w:val="24"/>
        </w:rPr>
        <w:t>(</w:t>
      </w:r>
      <w:r w:rsidR="00064E04" w:rsidRPr="005756A6">
        <w:rPr>
          <w:rFonts w:ascii="Garamond" w:hAnsi="Garamond" w:cs="Times New Roman"/>
          <w:sz w:val="24"/>
          <w:szCs w:val="24"/>
        </w:rPr>
        <w:t>partially</w:t>
      </w:r>
      <w:r w:rsidR="0016654D" w:rsidRPr="005756A6">
        <w:rPr>
          <w:rFonts w:ascii="Garamond" w:hAnsi="Garamond" w:cs="Times New Roman"/>
          <w:sz w:val="24"/>
          <w:szCs w:val="24"/>
        </w:rPr>
        <w:t>)</w:t>
      </w:r>
      <w:r w:rsidR="00064E04" w:rsidRPr="005756A6">
        <w:rPr>
          <w:rFonts w:ascii="Garamond" w:hAnsi="Garamond" w:cs="Times New Roman"/>
          <w:sz w:val="24"/>
          <w:szCs w:val="24"/>
        </w:rPr>
        <w:t xml:space="preserve"> consistent with the received wisdom of political consultants: broadcast television is still king, although </w:t>
      </w:r>
      <w:r w:rsidR="00204FE5" w:rsidRPr="005756A6">
        <w:rPr>
          <w:rFonts w:ascii="Garamond" w:hAnsi="Garamond" w:cs="Times New Roman"/>
          <w:sz w:val="24"/>
          <w:szCs w:val="24"/>
        </w:rPr>
        <w:t xml:space="preserve">careful targeting </w:t>
      </w:r>
      <w:r w:rsidR="00FB7B52" w:rsidRPr="005756A6">
        <w:rPr>
          <w:rFonts w:ascii="Garamond" w:hAnsi="Garamond" w:cs="Times New Roman"/>
          <w:sz w:val="24"/>
          <w:szCs w:val="24"/>
        </w:rPr>
        <w:t>helps</w:t>
      </w:r>
      <w:r w:rsidR="00064E04" w:rsidRPr="005756A6">
        <w:rPr>
          <w:rFonts w:ascii="Garamond" w:hAnsi="Garamond" w:cs="Times New Roman"/>
          <w:sz w:val="24"/>
          <w:szCs w:val="24"/>
        </w:rPr>
        <w:t>.</w:t>
      </w:r>
      <w:r w:rsidR="00D604F4" w:rsidRPr="005756A6">
        <w:rPr>
          <w:rFonts w:ascii="Garamond" w:hAnsi="Garamond" w:cs="Times New Roman"/>
          <w:sz w:val="24"/>
          <w:szCs w:val="24"/>
        </w:rPr>
        <w:t xml:space="preserve"> This result also confirms our expectation that more </w:t>
      </w:r>
      <w:r w:rsidR="00D14015" w:rsidRPr="005756A6">
        <w:rPr>
          <w:rFonts w:ascii="Garamond" w:hAnsi="Garamond" w:cs="Times New Roman"/>
          <w:sz w:val="24"/>
          <w:szCs w:val="24"/>
        </w:rPr>
        <w:t xml:space="preserve">accurate and detailed </w:t>
      </w:r>
      <w:r w:rsidR="00D604F4" w:rsidRPr="005756A6">
        <w:rPr>
          <w:rFonts w:ascii="Garamond" w:hAnsi="Garamond" w:cs="Times New Roman"/>
          <w:sz w:val="24"/>
          <w:szCs w:val="24"/>
        </w:rPr>
        <w:t xml:space="preserve">targeting information can significantly boost </w:t>
      </w:r>
      <w:r w:rsidR="00D14015" w:rsidRPr="005756A6">
        <w:rPr>
          <w:rFonts w:ascii="Garamond" w:hAnsi="Garamond" w:cs="Times New Roman"/>
          <w:sz w:val="24"/>
          <w:szCs w:val="24"/>
        </w:rPr>
        <w:t>the effectiveness of broadcast television.</w:t>
      </w:r>
    </w:p>
    <w:p w14:paraId="4B971BAB" w14:textId="7F0D5399" w:rsidR="00B56097" w:rsidRPr="005756A6" w:rsidRDefault="00B56097" w:rsidP="00B56097">
      <w:pPr>
        <w:spacing w:after="0" w:line="480" w:lineRule="auto"/>
        <w:jc w:val="center"/>
        <w:rPr>
          <w:rFonts w:ascii="Garamond" w:hAnsi="Garamond" w:cs="Times New Roman"/>
          <w:sz w:val="24"/>
          <w:szCs w:val="24"/>
        </w:rPr>
      </w:pPr>
      <w:r w:rsidRPr="005756A6">
        <w:rPr>
          <w:rFonts w:ascii="Garamond" w:hAnsi="Garamond" w:cs="Times New Roman"/>
          <w:sz w:val="24"/>
          <w:szCs w:val="24"/>
        </w:rPr>
        <w:t>[Figure 1 about here]</w:t>
      </w:r>
    </w:p>
    <w:p w14:paraId="06F09436" w14:textId="53C42BF7" w:rsidR="00690188" w:rsidRPr="005756A6" w:rsidRDefault="0095227E" w:rsidP="00CA141F">
      <w:pPr>
        <w:spacing w:after="0" w:line="480" w:lineRule="auto"/>
        <w:ind w:firstLine="720"/>
        <w:rPr>
          <w:rFonts w:ascii="Garamond" w:hAnsi="Garamond" w:cs="Times New Roman"/>
          <w:sz w:val="24"/>
          <w:szCs w:val="24"/>
        </w:rPr>
      </w:pPr>
      <w:r w:rsidRPr="005756A6">
        <w:rPr>
          <w:rFonts w:ascii="Garamond" w:hAnsi="Garamond" w:cs="Times New Roman"/>
          <w:sz w:val="24"/>
          <w:szCs w:val="24"/>
        </w:rPr>
        <w:t>The story for cable</w:t>
      </w:r>
      <w:r w:rsidR="00204FE5" w:rsidRPr="005756A6">
        <w:rPr>
          <w:rFonts w:ascii="Garamond" w:hAnsi="Garamond" w:cs="Times New Roman"/>
          <w:sz w:val="24"/>
          <w:szCs w:val="24"/>
        </w:rPr>
        <w:t xml:space="preserve"> television is quite different, as targeted buys disappoint while traditional buys do well. Specifically, tr</w:t>
      </w:r>
      <w:r w:rsidRPr="005756A6">
        <w:rPr>
          <w:rFonts w:ascii="Garamond" w:hAnsi="Garamond" w:cs="Times New Roman"/>
          <w:sz w:val="24"/>
          <w:szCs w:val="24"/>
        </w:rPr>
        <w:t>aditional cable television ads</w:t>
      </w:r>
      <w:r w:rsidR="00204FE5" w:rsidRPr="005756A6">
        <w:rPr>
          <w:rFonts w:ascii="Garamond" w:hAnsi="Garamond" w:cs="Times New Roman"/>
          <w:sz w:val="24"/>
          <w:szCs w:val="24"/>
        </w:rPr>
        <w:t xml:space="preserve"> buoyed the adjusted mean by </w:t>
      </w:r>
      <w:r w:rsidR="002B668D" w:rsidRPr="005756A6">
        <w:rPr>
          <w:rFonts w:ascii="Garamond" w:hAnsi="Garamond" w:cs="Times New Roman"/>
          <w:sz w:val="24"/>
          <w:szCs w:val="24"/>
        </w:rPr>
        <w:t>+</w:t>
      </w:r>
      <w:r w:rsidR="00204FE5" w:rsidRPr="005756A6">
        <w:rPr>
          <w:rFonts w:ascii="Garamond" w:hAnsi="Garamond" w:cs="Times New Roman"/>
          <w:sz w:val="24"/>
          <w:szCs w:val="24"/>
        </w:rPr>
        <w:t>2.6 points</w:t>
      </w:r>
      <w:r w:rsidRPr="005756A6">
        <w:rPr>
          <w:rFonts w:ascii="Garamond" w:hAnsi="Garamond" w:cs="Times New Roman"/>
          <w:sz w:val="24"/>
          <w:szCs w:val="24"/>
        </w:rPr>
        <w:t xml:space="preserve">; </w:t>
      </w:r>
      <w:r w:rsidR="00DC3DC5" w:rsidRPr="005756A6">
        <w:rPr>
          <w:rFonts w:ascii="Garamond" w:hAnsi="Garamond" w:cs="Times New Roman"/>
          <w:sz w:val="24"/>
          <w:szCs w:val="24"/>
        </w:rPr>
        <w:t xml:space="preserve">a </w:t>
      </w:r>
      <w:r w:rsidRPr="005756A6">
        <w:rPr>
          <w:rFonts w:ascii="Garamond" w:hAnsi="Garamond" w:cs="Times New Roman"/>
          <w:sz w:val="24"/>
          <w:szCs w:val="24"/>
        </w:rPr>
        <w:t>positive</w:t>
      </w:r>
      <w:r w:rsidR="00DC3DC5" w:rsidRPr="005756A6">
        <w:rPr>
          <w:rFonts w:ascii="Garamond" w:hAnsi="Garamond" w:cs="Times New Roman"/>
          <w:sz w:val="24"/>
          <w:szCs w:val="24"/>
        </w:rPr>
        <w:t xml:space="preserve"> effect</w:t>
      </w:r>
      <w:r w:rsidRPr="005756A6">
        <w:rPr>
          <w:rFonts w:ascii="Garamond" w:hAnsi="Garamond" w:cs="Times New Roman"/>
          <w:sz w:val="24"/>
          <w:szCs w:val="24"/>
        </w:rPr>
        <w:t>, though not statistically significant.</w:t>
      </w:r>
      <w:r w:rsidR="00064E04" w:rsidRPr="005756A6">
        <w:rPr>
          <w:rFonts w:ascii="Garamond" w:hAnsi="Garamond" w:cs="Times New Roman"/>
          <w:sz w:val="24"/>
          <w:szCs w:val="24"/>
        </w:rPr>
        <w:t xml:space="preserve"> </w:t>
      </w:r>
      <w:r w:rsidR="00204FE5" w:rsidRPr="005756A6">
        <w:rPr>
          <w:rFonts w:ascii="Garamond" w:hAnsi="Garamond" w:cs="Times New Roman"/>
          <w:sz w:val="24"/>
          <w:szCs w:val="24"/>
        </w:rPr>
        <w:t xml:space="preserve">Moreover, </w:t>
      </w:r>
      <w:r w:rsidR="00AA3B93" w:rsidRPr="005756A6">
        <w:rPr>
          <w:rFonts w:ascii="Garamond" w:hAnsi="Garamond" w:cs="Times New Roman"/>
          <w:sz w:val="24"/>
          <w:szCs w:val="24"/>
        </w:rPr>
        <w:t>t</w:t>
      </w:r>
      <w:r w:rsidR="00E4482C" w:rsidRPr="005756A6">
        <w:rPr>
          <w:rFonts w:ascii="Garamond" w:hAnsi="Garamond" w:cs="Times New Roman"/>
          <w:sz w:val="24"/>
          <w:szCs w:val="24"/>
        </w:rPr>
        <w:t xml:space="preserve">his result </w:t>
      </w:r>
      <w:r w:rsidR="00AA3B93" w:rsidRPr="005756A6">
        <w:rPr>
          <w:rFonts w:ascii="Garamond" w:hAnsi="Garamond" w:cs="Times New Roman"/>
          <w:sz w:val="24"/>
          <w:szCs w:val="24"/>
        </w:rPr>
        <w:t xml:space="preserve">was produced by a three-week experiment, obviating the </w:t>
      </w:r>
      <w:r w:rsidR="009B2833" w:rsidRPr="005756A6">
        <w:rPr>
          <w:rFonts w:ascii="Garamond" w:hAnsi="Garamond" w:cs="Times New Roman"/>
          <w:sz w:val="24"/>
          <w:szCs w:val="24"/>
        </w:rPr>
        <w:t xml:space="preserve">potential </w:t>
      </w:r>
      <w:r w:rsidR="00AA3B93" w:rsidRPr="005756A6">
        <w:rPr>
          <w:rFonts w:ascii="Garamond" w:hAnsi="Garamond" w:cs="Times New Roman"/>
          <w:sz w:val="24"/>
          <w:szCs w:val="24"/>
        </w:rPr>
        <w:t xml:space="preserve">criticism </w:t>
      </w:r>
      <w:r w:rsidR="009B2833" w:rsidRPr="005756A6">
        <w:rPr>
          <w:rFonts w:ascii="Garamond" w:hAnsi="Garamond" w:cs="Times New Roman"/>
          <w:sz w:val="24"/>
          <w:szCs w:val="24"/>
        </w:rPr>
        <w:t xml:space="preserve">that cable messages require more time to “sink in.” </w:t>
      </w:r>
      <w:r w:rsidR="0023021A" w:rsidRPr="005756A6">
        <w:rPr>
          <w:rFonts w:ascii="Garamond" w:hAnsi="Garamond" w:cs="Times New Roman"/>
          <w:sz w:val="24"/>
          <w:szCs w:val="24"/>
        </w:rPr>
        <w:t>Th</w:t>
      </w:r>
      <w:r w:rsidR="00FB7B52" w:rsidRPr="005756A6">
        <w:rPr>
          <w:rFonts w:ascii="Garamond" w:hAnsi="Garamond" w:cs="Times New Roman"/>
          <w:sz w:val="24"/>
          <w:szCs w:val="24"/>
        </w:rPr>
        <w:t xml:space="preserve">is suggests </w:t>
      </w:r>
      <w:r w:rsidR="0023021A" w:rsidRPr="005756A6">
        <w:rPr>
          <w:rFonts w:ascii="Garamond" w:hAnsi="Garamond" w:cs="Times New Roman"/>
          <w:sz w:val="24"/>
          <w:szCs w:val="24"/>
        </w:rPr>
        <w:t xml:space="preserve">(though not definitively) that targeting information for cable TV viewership is less reliable than it is for broadcast TV, </w:t>
      </w:r>
      <w:r w:rsidR="00FB7B52" w:rsidRPr="005756A6">
        <w:rPr>
          <w:rFonts w:ascii="Garamond" w:hAnsi="Garamond" w:cs="Times New Roman"/>
          <w:sz w:val="24"/>
          <w:szCs w:val="24"/>
        </w:rPr>
        <w:t>and/or</w:t>
      </w:r>
      <w:r w:rsidR="0023021A" w:rsidRPr="005756A6">
        <w:rPr>
          <w:rFonts w:ascii="Garamond" w:hAnsi="Garamond" w:cs="Times New Roman"/>
          <w:sz w:val="24"/>
          <w:szCs w:val="24"/>
        </w:rPr>
        <w:t xml:space="preserve"> that cable is not yet a comparable alternative to broadcast TV. We hold off on such conclusions </w:t>
      </w:r>
      <w:r w:rsidR="00F9236A" w:rsidRPr="005756A6">
        <w:rPr>
          <w:rFonts w:ascii="Garamond" w:hAnsi="Garamond" w:cs="Times New Roman"/>
          <w:sz w:val="24"/>
          <w:szCs w:val="24"/>
        </w:rPr>
        <w:t xml:space="preserve">until </w:t>
      </w:r>
      <w:r w:rsidR="0023021A" w:rsidRPr="005756A6">
        <w:rPr>
          <w:rFonts w:ascii="Garamond" w:hAnsi="Garamond" w:cs="Times New Roman"/>
          <w:sz w:val="24"/>
          <w:szCs w:val="24"/>
        </w:rPr>
        <w:t xml:space="preserve">we can </w:t>
      </w:r>
      <w:r w:rsidR="00F9236A" w:rsidRPr="005756A6">
        <w:rPr>
          <w:rFonts w:ascii="Garamond" w:hAnsi="Garamond" w:cs="Times New Roman"/>
          <w:sz w:val="24"/>
          <w:szCs w:val="24"/>
        </w:rPr>
        <w:t>examin</w:t>
      </w:r>
      <w:r w:rsidR="0023021A" w:rsidRPr="005756A6">
        <w:rPr>
          <w:rFonts w:ascii="Garamond" w:hAnsi="Garamond" w:cs="Times New Roman"/>
          <w:sz w:val="24"/>
          <w:szCs w:val="24"/>
        </w:rPr>
        <w:t>e</w:t>
      </w:r>
      <w:r w:rsidR="00F9236A" w:rsidRPr="005756A6">
        <w:rPr>
          <w:rFonts w:ascii="Garamond" w:hAnsi="Garamond" w:cs="Times New Roman"/>
          <w:sz w:val="24"/>
          <w:szCs w:val="24"/>
        </w:rPr>
        <w:t xml:space="preserve"> the interactive results </w:t>
      </w:r>
      <w:r w:rsidR="00FB7B52" w:rsidRPr="005756A6">
        <w:rPr>
          <w:rFonts w:ascii="Garamond" w:hAnsi="Garamond" w:cs="Times New Roman"/>
          <w:sz w:val="24"/>
          <w:szCs w:val="24"/>
        </w:rPr>
        <w:t>for</w:t>
      </w:r>
      <w:r w:rsidR="00F9236A" w:rsidRPr="005756A6">
        <w:rPr>
          <w:rFonts w:ascii="Garamond" w:hAnsi="Garamond" w:cs="Times New Roman"/>
          <w:sz w:val="24"/>
          <w:szCs w:val="24"/>
        </w:rPr>
        <w:t xml:space="preserve"> cable and other elements of the broadcast campaign</w:t>
      </w:r>
      <w:r w:rsidR="0023021A" w:rsidRPr="005756A6">
        <w:rPr>
          <w:rFonts w:ascii="Garamond" w:hAnsi="Garamond" w:cs="Times New Roman"/>
          <w:sz w:val="24"/>
          <w:szCs w:val="24"/>
        </w:rPr>
        <w:t>, as well as the cost efficiency estimates</w:t>
      </w:r>
      <w:r w:rsidR="00F9236A" w:rsidRPr="005756A6">
        <w:rPr>
          <w:rFonts w:ascii="Garamond" w:hAnsi="Garamond" w:cs="Times New Roman"/>
          <w:sz w:val="24"/>
          <w:szCs w:val="24"/>
        </w:rPr>
        <w:t>.</w:t>
      </w:r>
    </w:p>
    <w:p w14:paraId="56729131" w14:textId="353BFC94" w:rsidR="00C26230" w:rsidRPr="005756A6" w:rsidRDefault="00F9236A" w:rsidP="002D6C93">
      <w:pPr>
        <w:spacing w:after="0" w:line="480" w:lineRule="auto"/>
        <w:rPr>
          <w:rFonts w:ascii="Garamond" w:hAnsi="Garamond" w:cs="Times New Roman"/>
          <w:sz w:val="24"/>
          <w:szCs w:val="24"/>
        </w:rPr>
      </w:pPr>
      <w:r w:rsidRPr="005756A6">
        <w:rPr>
          <w:rFonts w:ascii="Garamond" w:hAnsi="Garamond" w:cs="Times New Roman"/>
          <w:sz w:val="24"/>
          <w:szCs w:val="24"/>
        </w:rPr>
        <w:tab/>
      </w:r>
      <w:r w:rsidR="00A31198" w:rsidRPr="005756A6">
        <w:rPr>
          <w:rFonts w:ascii="Garamond" w:hAnsi="Garamond" w:cs="Times New Roman"/>
          <w:sz w:val="24"/>
          <w:szCs w:val="24"/>
        </w:rPr>
        <w:t>Moving to non-TV modes, t</w:t>
      </w:r>
      <w:r w:rsidR="006B23B0" w:rsidRPr="005756A6">
        <w:rPr>
          <w:rFonts w:ascii="Garamond" w:hAnsi="Garamond" w:cs="Times New Roman"/>
          <w:sz w:val="24"/>
          <w:szCs w:val="24"/>
        </w:rPr>
        <w:t xml:space="preserve">he radio experiment shows that old-school </w:t>
      </w:r>
      <w:r w:rsidR="00A7352A" w:rsidRPr="005756A6">
        <w:rPr>
          <w:rFonts w:ascii="Garamond" w:hAnsi="Garamond" w:cs="Times New Roman"/>
          <w:sz w:val="24"/>
          <w:szCs w:val="24"/>
        </w:rPr>
        <w:t>approaches can still pack</w:t>
      </w:r>
      <w:r w:rsidR="005F3DCB" w:rsidRPr="005756A6">
        <w:rPr>
          <w:rFonts w:ascii="Garamond" w:hAnsi="Garamond" w:cs="Times New Roman"/>
          <w:sz w:val="24"/>
          <w:szCs w:val="24"/>
        </w:rPr>
        <w:t xml:space="preserve"> a punch. Abbott favorability in the </w:t>
      </w:r>
      <w:r w:rsidR="00001561" w:rsidRPr="005756A6">
        <w:rPr>
          <w:rFonts w:ascii="Garamond" w:hAnsi="Garamond" w:cs="Times New Roman"/>
          <w:sz w:val="24"/>
          <w:szCs w:val="24"/>
        </w:rPr>
        <w:t>radio</w:t>
      </w:r>
      <w:r w:rsidR="00294E45" w:rsidRPr="005756A6">
        <w:rPr>
          <w:rFonts w:ascii="Garamond" w:hAnsi="Garamond" w:cs="Times New Roman"/>
          <w:sz w:val="24"/>
          <w:szCs w:val="24"/>
        </w:rPr>
        <w:t xml:space="preserve"> </w:t>
      </w:r>
      <w:r w:rsidR="005F3DCB" w:rsidRPr="005756A6">
        <w:rPr>
          <w:rFonts w:ascii="Garamond" w:hAnsi="Garamond" w:cs="Times New Roman"/>
          <w:sz w:val="24"/>
          <w:szCs w:val="24"/>
        </w:rPr>
        <w:t>treatment markets is +3</w:t>
      </w:r>
      <w:r w:rsidR="0023021A" w:rsidRPr="005756A6">
        <w:rPr>
          <w:rFonts w:ascii="Garamond" w:hAnsi="Garamond" w:cs="Times New Roman"/>
          <w:sz w:val="24"/>
          <w:szCs w:val="24"/>
        </w:rPr>
        <w:t>.3 points over the baseline</w:t>
      </w:r>
      <w:r w:rsidR="005F3DCB" w:rsidRPr="005756A6">
        <w:rPr>
          <w:rFonts w:ascii="Garamond" w:hAnsi="Garamond" w:cs="Times New Roman"/>
          <w:sz w:val="24"/>
          <w:szCs w:val="24"/>
        </w:rPr>
        <w:t xml:space="preserve">. Radio is </w:t>
      </w:r>
      <w:r w:rsidR="00A7352A" w:rsidRPr="005756A6">
        <w:rPr>
          <w:rFonts w:ascii="Garamond" w:hAnsi="Garamond" w:cs="Times New Roman"/>
          <w:sz w:val="24"/>
          <w:szCs w:val="24"/>
        </w:rPr>
        <w:t>sometimes</w:t>
      </w:r>
      <w:r w:rsidR="005F3DCB" w:rsidRPr="005756A6">
        <w:rPr>
          <w:rFonts w:ascii="Garamond" w:hAnsi="Garamond" w:cs="Times New Roman"/>
          <w:sz w:val="24"/>
          <w:szCs w:val="24"/>
        </w:rPr>
        <w:t xml:space="preserve"> considered more of a mobilizing than a persuasive m</w:t>
      </w:r>
      <w:r w:rsidR="00D31AE3" w:rsidRPr="005756A6">
        <w:rPr>
          <w:rFonts w:ascii="Garamond" w:hAnsi="Garamond" w:cs="Times New Roman"/>
          <w:sz w:val="24"/>
          <w:szCs w:val="24"/>
        </w:rPr>
        <w:t xml:space="preserve">edium, but the results here contradict this </w:t>
      </w:r>
      <w:r w:rsidR="00A7352A" w:rsidRPr="005756A6">
        <w:rPr>
          <w:rFonts w:ascii="Garamond" w:hAnsi="Garamond" w:cs="Times New Roman"/>
          <w:sz w:val="24"/>
          <w:szCs w:val="24"/>
        </w:rPr>
        <w:t>perception</w:t>
      </w:r>
      <w:r w:rsidR="00D31AE3" w:rsidRPr="005756A6">
        <w:rPr>
          <w:rFonts w:ascii="Garamond" w:hAnsi="Garamond" w:cs="Times New Roman"/>
          <w:sz w:val="24"/>
          <w:szCs w:val="24"/>
        </w:rPr>
        <w:t>.</w:t>
      </w:r>
    </w:p>
    <w:p w14:paraId="0438D9C6" w14:textId="25571AB4" w:rsidR="00D31AE3" w:rsidRPr="005756A6" w:rsidRDefault="00D31AE3" w:rsidP="002D6C93">
      <w:pPr>
        <w:spacing w:after="0" w:line="480" w:lineRule="auto"/>
        <w:rPr>
          <w:rFonts w:ascii="Garamond" w:hAnsi="Garamond" w:cs="Times New Roman"/>
          <w:sz w:val="24"/>
          <w:szCs w:val="24"/>
        </w:rPr>
      </w:pPr>
      <w:r w:rsidRPr="005756A6">
        <w:rPr>
          <w:rFonts w:ascii="Garamond" w:hAnsi="Garamond" w:cs="Times New Roman"/>
          <w:sz w:val="24"/>
          <w:szCs w:val="24"/>
        </w:rPr>
        <w:tab/>
        <w:t>If old-school still works, new-school modes of</w:t>
      </w:r>
      <w:r w:rsidR="00FB7B52" w:rsidRPr="005756A6">
        <w:rPr>
          <w:rFonts w:ascii="Garamond" w:hAnsi="Garamond" w:cs="Times New Roman"/>
          <w:sz w:val="24"/>
          <w:szCs w:val="24"/>
        </w:rPr>
        <w:t xml:space="preserve"> outreach are a mixed bag. I</w:t>
      </w:r>
      <w:r w:rsidRPr="005756A6">
        <w:rPr>
          <w:rFonts w:ascii="Garamond" w:hAnsi="Garamond" w:cs="Times New Roman"/>
          <w:sz w:val="24"/>
          <w:szCs w:val="24"/>
        </w:rPr>
        <w:t xml:space="preserve">nternet advertising </w:t>
      </w:r>
      <w:r w:rsidR="00FB7B52" w:rsidRPr="005756A6">
        <w:rPr>
          <w:rFonts w:ascii="Garamond" w:hAnsi="Garamond" w:cs="Times New Roman"/>
          <w:sz w:val="24"/>
          <w:szCs w:val="24"/>
        </w:rPr>
        <w:t>shows</w:t>
      </w:r>
      <w:r w:rsidRPr="005756A6">
        <w:rPr>
          <w:rFonts w:ascii="Garamond" w:hAnsi="Garamond" w:cs="Times New Roman"/>
          <w:sz w:val="24"/>
          <w:szCs w:val="24"/>
        </w:rPr>
        <w:t xml:space="preserve"> a </w:t>
      </w:r>
      <w:r w:rsidR="00FB7B52" w:rsidRPr="005756A6">
        <w:rPr>
          <w:rFonts w:ascii="Garamond" w:hAnsi="Garamond" w:cs="Times New Roman"/>
          <w:sz w:val="24"/>
          <w:szCs w:val="24"/>
        </w:rPr>
        <w:t xml:space="preserve">small positive </w:t>
      </w:r>
      <w:r w:rsidRPr="005756A6">
        <w:rPr>
          <w:rFonts w:ascii="Garamond" w:hAnsi="Garamond" w:cs="Times New Roman"/>
          <w:sz w:val="24"/>
          <w:szCs w:val="24"/>
        </w:rPr>
        <w:t xml:space="preserve">net </w:t>
      </w:r>
      <w:r w:rsidR="00FB7B52" w:rsidRPr="005756A6">
        <w:rPr>
          <w:rFonts w:ascii="Garamond" w:hAnsi="Garamond" w:cs="Times New Roman"/>
          <w:sz w:val="24"/>
          <w:szCs w:val="24"/>
        </w:rPr>
        <w:t xml:space="preserve">effect, but </w:t>
      </w:r>
      <w:r w:rsidRPr="005756A6">
        <w:rPr>
          <w:rFonts w:ascii="Garamond" w:hAnsi="Garamond" w:cs="Times New Roman"/>
          <w:sz w:val="24"/>
          <w:szCs w:val="24"/>
        </w:rPr>
        <w:t>Facebook</w:t>
      </w:r>
      <w:r w:rsidR="00FB7B52" w:rsidRPr="005756A6">
        <w:rPr>
          <w:rFonts w:ascii="Garamond" w:hAnsi="Garamond" w:cs="Times New Roman"/>
          <w:sz w:val="24"/>
          <w:szCs w:val="24"/>
        </w:rPr>
        <w:t xml:space="preserve"> and pre-roll advertising do little. </w:t>
      </w:r>
      <w:r w:rsidR="003576A6" w:rsidRPr="005756A6">
        <w:rPr>
          <w:rFonts w:ascii="Garamond" w:hAnsi="Garamond" w:cs="Times New Roman"/>
          <w:sz w:val="24"/>
          <w:szCs w:val="24"/>
        </w:rPr>
        <w:t>Again, these results require</w:t>
      </w:r>
      <w:r w:rsidR="00FB7B52" w:rsidRPr="005756A6">
        <w:rPr>
          <w:rFonts w:ascii="Garamond" w:hAnsi="Garamond" w:cs="Times New Roman"/>
          <w:sz w:val="24"/>
          <w:szCs w:val="24"/>
        </w:rPr>
        <w:t xml:space="preserve"> the</w:t>
      </w:r>
      <w:r w:rsidR="003576A6" w:rsidRPr="005756A6">
        <w:rPr>
          <w:rFonts w:ascii="Garamond" w:hAnsi="Garamond" w:cs="Times New Roman"/>
          <w:sz w:val="24"/>
          <w:szCs w:val="24"/>
        </w:rPr>
        <w:t xml:space="preserve"> consideration of interactive effects</w:t>
      </w:r>
      <w:r w:rsidR="00A7352A" w:rsidRPr="005756A6">
        <w:rPr>
          <w:rFonts w:ascii="Garamond" w:hAnsi="Garamond" w:cs="Times New Roman"/>
          <w:sz w:val="24"/>
          <w:szCs w:val="24"/>
        </w:rPr>
        <w:t xml:space="preserve"> </w:t>
      </w:r>
      <w:r w:rsidR="00FB7B52" w:rsidRPr="005756A6">
        <w:rPr>
          <w:rFonts w:ascii="Garamond" w:hAnsi="Garamond" w:cs="Times New Roman"/>
          <w:sz w:val="24"/>
          <w:szCs w:val="24"/>
        </w:rPr>
        <w:t>and cost efficiency</w:t>
      </w:r>
      <w:r w:rsidR="00A7352A" w:rsidRPr="005756A6">
        <w:rPr>
          <w:rFonts w:ascii="Garamond" w:hAnsi="Garamond" w:cs="Times New Roman"/>
          <w:sz w:val="24"/>
          <w:szCs w:val="24"/>
        </w:rPr>
        <w:t xml:space="preserve">, </w:t>
      </w:r>
      <w:r w:rsidR="00FB7B52" w:rsidRPr="005756A6">
        <w:rPr>
          <w:rFonts w:ascii="Garamond" w:hAnsi="Garamond" w:cs="Times New Roman"/>
          <w:sz w:val="24"/>
          <w:szCs w:val="24"/>
        </w:rPr>
        <w:t xml:space="preserve">something we turn to </w:t>
      </w:r>
      <w:r w:rsidR="00A7352A" w:rsidRPr="005756A6">
        <w:rPr>
          <w:rFonts w:ascii="Garamond" w:hAnsi="Garamond" w:cs="Times New Roman"/>
          <w:sz w:val="24"/>
          <w:szCs w:val="24"/>
        </w:rPr>
        <w:t>shortly</w:t>
      </w:r>
      <w:r w:rsidR="003576A6" w:rsidRPr="005756A6">
        <w:rPr>
          <w:rFonts w:ascii="Garamond" w:hAnsi="Garamond" w:cs="Times New Roman"/>
          <w:sz w:val="24"/>
          <w:szCs w:val="24"/>
        </w:rPr>
        <w:t>.</w:t>
      </w:r>
    </w:p>
    <w:p w14:paraId="140733A9" w14:textId="1644C41D" w:rsidR="009D311A" w:rsidRPr="005756A6" w:rsidRDefault="003576A6" w:rsidP="002D6C93">
      <w:pPr>
        <w:spacing w:after="0" w:line="480" w:lineRule="auto"/>
        <w:rPr>
          <w:rFonts w:ascii="Garamond" w:hAnsi="Garamond" w:cs="Times New Roman"/>
          <w:sz w:val="24"/>
          <w:szCs w:val="24"/>
        </w:rPr>
      </w:pPr>
      <w:r w:rsidRPr="005756A6">
        <w:rPr>
          <w:rFonts w:ascii="Garamond" w:hAnsi="Garamond" w:cs="Times New Roman"/>
          <w:sz w:val="24"/>
          <w:szCs w:val="24"/>
        </w:rPr>
        <w:tab/>
        <w:t xml:space="preserve">Finally, </w:t>
      </w:r>
      <w:r w:rsidR="00FE09CB" w:rsidRPr="005756A6">
        <w:rPr>
          <w:rFonts w:ascii="Garamond" w:hAnsi="Garamond" w:cs="Times New Roman"/>
          <w:sz w:val="24"/>
          <w:szCs w:val="24"/>
        </w:rPr>
        <w:t xml:space="preserve">direct mail </w:t>
      </w:r>
      <w:r w:rsidR="009D3648" w:rsidRPr="005756A6">
        <w:rPr>
          <w:rFonts w:ascii="Garamond" w:hAnsi="Garamond" w:cs="Times New Roman"/>
          <w:sz w:val="24"/>
          <w:szCs w:val="24"/>
        </w:rPr>
        <w:t>ha</w:t>
      </w:r>
      <w:r w:rsidR="00FB7B52" w:rsidRPr="005756A6">
        <w:rPr>
          <w:rFonts w:ascii="Garamond" w:hAnsi="Garamond" w:cs="Times New Roman"/>
          <w:sz w:val="24"/>
          <w:szCs w:val="24"/>
        </w:rPr>
        <w:t>s</w:t>
      </w:r>
      <w:r w:rsidR="009D3648" w:rsidRPr="005756A6">
        <w:rPr>
          <w:rFonts w:ascii="Garamond" w:hAnsi="Garamond" w:cs="Times New Roman"/>
          <w:sz w:val="24"/>
          <w:szCs w:val="24"/>
        </w:rPr>
        <w:t xml:space="preserve"> </w:t>
      </w:r>
      <w:r w:rsidR="00BD63E5" w:rsidRPr="005756A6">
        <w:rPr>
          <w:rFonts w:ascii="Garamond" w:hAnsi="Garamond" w:cs="Times New Roman"/>
          <w:sz w:val="24"/>
          <w:szCs w:val="24"/>
        </w:rPr>
        <w:t xml:space="preserve">the </w:t>
      </w:r>
      <w:r w:rsidR="00FE09CB" w:rsidRPr="005756A6">
        <w:rPr>
          <w:rFonts w:ascii="Garamond" w:hAnsi="Garamond" w:cs="Times New Roman"/>
          <w:sz w:val="24"/>
          <w:szCs w:val="24"/>
        </w:rPr>
        <w:t>modest influence one might expect</w:t>
      </w:r>
      <w:r w:rsidR="00BD63E5" w:rsidRPr="005756A6">
        <w:rPr>
          <w:rFonts w:ascii="Garamond" w:hAnsi="Garamond" w:cs="Times New Roman"/>
          <w:sz w:val="24"/>
          <w:szCs w:val="24"/>
        </w:rPr>
        <w:t>,</w:t>
      </w:r>
      <w:r w:rsidR="00FE09CB" w:rsidRPr="005756A6">
        <w:rPr>
          <w:rFonts w:ascii="Garamond" w:hAnsi="Garamond" w:cs="Times New Roman"/>
          <w:sz w:val="24"/>
          <w:szCs w:val="24"/>
        </w:rPr>
        <w:t xml:space="preserve"> given previous studies. </w:t>
      </w:r>
      <w:r w:rsidR="00FB7B52" w:rsidRPr="005756A6">
        <w:rPr>
          <w:rFonts w:ascii="Garamond" w:hAnsi="Garamond" w:cs="Times New Roman"/>
          <w:sz w:val="24"/>
          <w:szCs w:val="24"/>
        </w:rPr>
        <w:t>The</w:t>
      </w:r>
      <w:r w:rsidR="00FE09CB" w:rsidRPr="005756A6">
        <w:rPr>
          <w:rFonts w:ascii="Garamond" w:hAnsi="Garamond" w:cs="Times New Roman"/>
          <w:sz w:val="24"/>
          <w:szCs w:val="24"/>
        </w:rPr>
        <w:t xml:space="preserve"> net favorability for Abbott within the mail treatment group </w:t>
      </w:r>
      <w:r w:rsidR="009D3648" w:rsidRPr="005756A6">
        <w:rPr>
          <w:rFonts w:ascii="Garamond" w:hAnsi="Garamond" w:cs="Times New Roman"/>
          <w:sz w:val="24"/>
          <w:szCs w:val="24"/>
        </w:rPr>
        <w:t>i</w:t>
      </w:r>
      <w:r w:rsidR="00FE09CB" w:rsidRPr="005756A6">
        <w:rPr>
          <w:rFonts w:ascii="Garamond" w:hAnsi="Garamond" w:cs="Times New Roman"/>
          <w:sz w:val="24"/>
          <w:szCs w:val="24"/>
        </w:rPr>
        <w:t>s 1.</w:t>
      </w:r>
      <w:r w:rsidR="009463F7" w:rsidRPr="005756A6">
        <w:rPr>
          <w:rFonts w:ascii="Garamond" w:hAnsi="Garamond" w:cs="Times New Roman"/>
          <w:sz w:val="24"/>
          <w:szCs w:val="24"/>
        </w:rPr>
        <w:t>3</w:t>
      </w:r>
      <w:r w:rsidR="00FE09CB" w:rsidRPr="005756A6">
        <w:rPr>
          <w:rFonts w:ascii="Garamond" w:hAnsi="Garamond" w:cs="Times New Roman"/>
          <w:sz w:val="24"/>
          <w:szCs w:val="24"/>
        </w:rPr>
        <w:t xml:space="preserve"> points higher than the baseline </w:t>
      </w:r>
      <w:r w:rsidR="00FE09CB" w:rsidRPr="005756A6">
        <w:rPr>
          <w:rFonts w:ascii="Garamond" w:hAnsi="Garamond" w:cs="Times New Roman"/>
          <w:sz w:val="24"/>
          <w:szCs w:val="24"/>
        </w:rPr>
        <w:lastRenderedPageBreak/>
        <w:t>rating</w:t>
      </w:r>
      <w:r w:rsidR="009D3648" w:rsidRPr="005756A6">
        <w:rPr>
          <w:rFonts w:ascii="Garamond" w:hAnsi="Garamond" w:cs="Times New Roman"/>
          <w:sz w:val="24"/>
          <w:szCs w:val="24"/>
        </w:rPr>
        <w:t>,</w:t>
      </w:r>
      <w:r w:rsidR="009D311A" w:rsidRPr="005756A6">
        <w:rPr>
          <w:rFonts w:ascii="Garamond" w:hAnsi="Garamond" w:cs="Times New Roman"/>
          <w:sz w:val="24"/>
          <w:szCs w:val="24"/>
        </w:rPr>
        <w:t xml:space="preserve"> while within the control group it </w:t>
      </w:r>
      <w:r w:rsidR="009D3648" w:rsidRPr="005756A6">
        <w:rPr>
          <w:rFonts w:ascii="Garamond" w:hAnsi="Garamond" w:cs="Times New Roman"/>
          <w:sz w:val="24"/>
          <w:szCs w:val="24"/>
        </w:rPr>
        <w:t xml:space="preserve">is </w:t>
      </w:r>
      <w:r w:rsidR="009D311A" w:rsidRPr="005756A6">
        <w:rPr>
          <w:rFonts w:ascii="Garamond" w:hAnsi="Garamond" w:cs="Times New Roman"/>
          <w:sz w:val="24"/>
          <w:szCs w:val="24"/>
        </w:rPr>
        <w:t>1.4 points lower. These differences are not</w:t>
      </w:r>
      <w:r w:rsidR="00FB7B52" w:rsidRPr="005756A6">
        <w:rPr>
          <w:rFonts w:ascii="Garamond" w:hAnsi="Garamond" w:cs="Times New Roman"/>
          <w:sz w:val="24"/>
          <w:szCs w:val="24"/>
        </w:rPr>
        <w:t>, however,</w:t>
      </w:r>
      <w:r w:rsidR="009D311A" w:rsidRPr="005756A6">
        <w:rPr>
          <w:rFonts w:ascii="Garamond" w:hAnsi="Garamond" w:cs="Times New Roman"/>
          <w:sz w:val="24"/>
          <w:szCs w:val="24"/>
        </w:rPr>
        <w:t xml:space="preserve"> statistically significant.</w:t>
      </w:r>
    </w:p>
    <w:p w14:paraId="19A825F3" w14:textId="4B9AB8C1" w:rsidR="00B9252F" w:rsidRPr="005756A6" w:rsidRDefault="009D311A" w:rsidP="002D6C93">
      <w:pPr>
        <w:spacing w:after="0" w:line="480" w:lineRule="auto"/>
        <w:rPr>
          <w:rFonts w:ascii="Garamond" w:hAnsi="Garamond" w:cs="Times New Roman"/>
          <w:sz w:val="24"/>
          <w:szCs w:val="24"/>
        </w:rPr>
      </w:pPr>
      <w:r w:rsidRPr="005756A6">
        <w:rPr>
          <w:rFonts w:ascii="Garamond" w:hAnsi="Garamond" w:cs="Times New Roman"/>
          <w:sz w:val="24"/>
          <w:szCs w:val="24"/>
        </w:rPr>
        <w:tab/>
      </w:r>
      <w:r w:rsidR="00FB7B52" w:rsidRPr="005756A6">
        <w:rPr>
          <w:rFonts w:ascii="Garamond" w:hAnsi="Garamond" w:cs="Times New Roman"/>
          <w:sz w:val="24"/>
          <w:szCs w:val="24"/>
        </w:rPr>
        <w:t xml:space="preserve">In sum, </w:t>
      </w:r>
      <w:r w:rsidRPr="005756A6">
        <w:rPr>
          <w:rFonts w:ascii="Garamond" w:hAnsi="Garamond" w:cs="Times New Roman"/>
          <w:sz w:val="24"/>
          <w:szCs w:val="24"/>
        </w:rPr>
        <w:t xml:space="preserve">the experiments yield </w:t>
      </w:r>
      <w:r w:rsidR="00F534AB">
        <w:rPr>
          <w:rFonts w:ascii="Garamond" w:hAnsi="Garamond" w:cs="Times New Roman"/>
          <w:sz w:val="24"/>
          <w:szCs w:val="24"/>
        </w:rPr>
        <w:t>clear</w:t>
      </w:r>
      <w:r w:rsidR="00D14015" w:rsidRPr="005756A6">
        <w:rPr>
          <w:rFonts w:ascii="Garamond" w:hAnsi="Garamond" w:cs="Times New Roman"/>
          <w:sz w:val="24"/>
          <w:szCs w:val="24"/>
        </w:rPr>
        <w:t xml:space="preserve"> evidence for our expectation that campaign effects vary considerably by mode. We see </w:t>
      </w:r>
      <w:r w:rsidR="00504333" w:rsidRPr="005756A6">
        <w:rPr>
          <w:rFonts w:ascii="Garamond" w:hAnsi="Garamond" w:cs="Times New Roman"/>
          <w:sz w:val="24"/>
          <w:szCs w:val="24"/>
        </w:rPr>
        <w:t xml:space="preserve">strong, </w:t>
      </w:r>
      <w:r w:rsidRPr="005756A6">
        <w:rPr>
          <w:rFonts w:ascii="Garamond" w:hAnsi="Garamond" w:cs="Times New Roman"/>
          <w:sz w:val="24"/>
          <w:szCs w:val="24"/>
        </w:rPr>
        <w:t xml:space="preserve">statistically significant </w:t>
      </w:r>
      <w:r w:rsidR="00504333" w:rsidRPr="005756A6">
        <w:rPr>
          <w:rFonts w:ascii="Garamond" w:hAnsi="Garamond" w:cs="Times New Roman"/>
          <w:sz w:val="24"/>
          <w:szCs w:val="24"/>
        </w:rPr>
        <w:t xml:space="preserve">treatment effects (p &lt; 0.01) for </w:t>
      </w:r>
      <w:r w:rsidRPr="005756A6">
        <w:rPr>
          <w:rFonts w:ascii="Garamond" w:hAnsi="Garamond" w:cs="Times New Roman"/>
          <w:sz w:val="24"/>
          <w:szCs w:val="24"/>
        </w:rPr>
        <w:t xml:space="preserve">targeted broadcast television </w:t>
      </w:r>
      <w:r w:rsidR="00504333" w:rsidRPr="005756A6">
        <w:rPr>
          <w:rFonts w:ascii="Garamond" w:hAnsi="Garamond" w:cs="Times New Roman"/>
          <w:sz w:val="24"/>
          <w:szCs w:val="24"/>
        </w:rPr>
        <w:t>and</w:t>
      </w:r>
      <w:r w:rsidRPr="005756A6">
        <w:rPr>
          <w:rFonts w:ascii="Garamond" w:hAnsi="Garamond" w:cs="Times New Roman"/>
          <w:sz w:val="24"/>
          <w:szCs w:val="24"/>
        </w:rPr>
        <w:t xml:space="preserve"> radio</w:t>
      </w:r>
      <w:r w:rsidR="00504333" w:rsidRPr="005756A6">
        <w:rPr>
          <w:rFonts w:ascii="Garamond" w:hAnsi="Garamond" w:cs="Times New Roman"/>
          <w:sz w:val="24"/>
          <w:szCs w:val="24"/>
        </w:rPr>
        <w:t xml:space="preserve">, and modest, statistically significant treatment effects for traditional cable television and Internet advertising. </w:t>
      </w:r>
      <w:r w:rsidR="00FA5C0A" w:rsidRPr="005756A6">
        <w:rPr>
          <w:rFonts w:ascii="Garamond" w:hAnsi="Garamond" w:cs="Times New Roman"/>
          <w:sz w:val="24"/>
          <w:szCs w:val="24"/>
        </w:rPr>
        <w:t>On the other side of the ledger, the biggest treatment effect busts are targeted cable television, pre-roll</w:t>
      </w:r>
      <w:r w:rsidR="009D3648" w:rsidRPr="005756A6">
        <w:rPr>
          <w:rFonts w:ascii="Garamond" w:hAnsi="Garamond" w:cs="Times New Roman"/>
          <w:sz w:val="24"/>
          <w:szCs w:val="24"/>
        </w:rPr>
        <w:t>,</w:t>
      </w:r>
      <w:r w:rsidR="00FA5C0A" w:rsidRPr="005756A6">
        <w:rPr>
          <w:rFonts w:ascii="Garamond" w:hAnsi="Garamond" w:cs="Times New Roman"/>
          <w:sz w:val="24"/>
          <w:szCs w:val="24"/>
        </w:rPr>
        <w:t xml:space="preserve"> and Facebook advertising.</w:t>
      </w:r>
      <w:r w:rsidR="00D604F4" w:rsidRPr="005756A6">
        <w:rPr>
          <w:rFonts w:ascii="Garamond" w:hAnsi="Garamond" w:cs="Times New Roman"/>
          <w:sz w:val="24"/>
          <w:szCs w:val="24"/>
        </w:rPr>
        <w:t xml:space="preserve"> </w:t>
      </w:r>
    </w:p>
    <w:p w14:paraId="73558CBE" w14:textId="52FF2CD7" w:rsidR="00FA5C0A" w:rsidRPr="005756A6" w:rsidRDefault="00833DD4" w:rsidP="00B9252F">
      <w:pPr>
        <w:spacing w:after="0" w:line="480" w:lineRule="auto"/>
        <w:ind w:firstLine="720"/>
        <w:rPr>
          <w:rFonts w:ascii="Garamond" w:hAnsi="Garamond" w:cs="Times New Roman"/>
          <w:sz w:val="24"/>
          <w:szCs w:val="24"/>
        </w:rPr>
      </w:pPr>
      <w:r w:rsidRPr="005756A6">
        <w:rPr>
          <w:rFonts w:ascii="Garamond" w:hAnsi="Garamond" w:cs="Times New Roman"/>
          <w:sz w:val="24"/>
          <w:szCs w:val="24"/>
        </w:rPr>
        <w:t xml:space="preserve">It is also worth reiterating that these “effects” are within the treatment </w:t>
      </w:r>
      <w:r w:rsidR="00F534AB">
        <w:rPr>
          <w:rFonts w:ascii="Garamond" w:hAnsi="Garamond" w:cs="Times New Roman"/>
          <w:sz w:val="24"/>
          <w:szCs w:val="24"/>
        </w:rPr>
        <w:t>markets</w:t>
      </w:r>
      <w:r w:rsidRPr="005756A6">
        <w:rPr>
          <w:rFonts w:ascii="Garamond" w:hAnsi="Garamond" w:cs="Times New Roman"/>
          <w:sz w:val="24"/>
          <w:szCs w:val="24"/>
        </w:rPr>
        <w:t xml:space="preserve">; a negative finding therefore means that the treatment did not improve Abbott’s standing as much as the baseline expectation for those who experienced the campaign. This was what the campaign wanted to </w:t>
      </w:r>
      <w:r w:rsidR="00066271" w:rsidRPr="005756A6">
        <w:rPr>
          <w:rFonts w:ascii="Garamond" w:hAnsi="Garamond" w:cs="Times New Roman"/>
          <w:sz w:val="24"/>
          <w:szCs w:val="24"/>
        </w:rPr>
        <w:t>know. A negative effect does not (necessarily) mean that the treatment decreased Abbott’s standing compared to doing nothing.</w:t>
      </w:r>
      <w:r w:rsidRPr="005756A6">
        <w:rPr>
          <w:rFonts w:ascii="Garamond" w:hAnsi="Garamond" w:cs="Times New Roman"/>
          <w:sz w:val="24"/>
          <w:szCs w:val="24"/>
        </w:rPr>
        <w:t xml:space="preserve"> </w:t>
      </w:r>
    </w:p>
    <w:p w14:paraId="340557A0" w14:textId="77777777" w:rsidR="00FA5C0A" w:rsidRPr="005756A6" w:rsidRDefault="00FA5C0A" w:rsidP="002D6C93">
      <w:pPr>
        <w:spacing w:after="0" w:line="480" w:lineRule="auto"/>
        <w:rPr>
          <w:rFonts w:ascii="Garamond" w:hAnsi="Garamond" w:cs="Times New Roman"/>
          <w:sz w:val="24"/>
          <w:szCs w:val="24"/>
        </w:rPr>
      </w:pPr>
    </w:p>
    <w:p w14:paraId="4BFF5FAE" w14:textId="77777777" w:rsidR="00FA5C0A" w:rsidRPr="005756A6" w:rsidRDefault="00FA5C0A" w:rsidP="002D6C93">
      <w:pPr>
        <w:spacing w:after="0" w:line="480" w:lineRule="auto"/>
        <w:rPr>
          <w:rFonts w:ascii="Garamond" w:hAnsi="Garamond" w:cs="Times New Roman"/>
          <w:sz w:val="24"/>
          <w:szCs w:val="24"/>
          <w:u w:val="single"/>
        </w:rPr>
      </w:pPr>
      <w:r w:rsidRPr="005756A6">
        <w:rPr>
          <w:rFonts w:ascii="Garamond" w:hAnsi="Garamond" w:cs="Times New Roman"/>
          <w:sz w:val="24"/>
          <w:szCs w:val="24"/>
          <w:u w:val="single"/>
        </w:rPr>
        <w:t>Turnout</w:t>
      </w:r>
    </w:p>
    <w:p w14:paraId="2EE8E8EB" w14:textId="772B778C" w:rsidR="004A0B4A" w:rsidRPr="005756A6" w:rsidRDefault="00FA5C0A" w:rsidP="002D6C93">
      <w:pPr>
        <w:spacing w:after="0" w:line="480" w:lineRule="auto"/>
        <w:rPr>
          <w:rFonts w:ascii="Garamond" w:hAnsi="Garamond" w:cs="Times New Roman"/>
          <w:sz w:val="24"/>
          <w:szCs w:val="24"/>
        </w:rPr>
      </w:pPr>
      <w:r w:rsidRPr="005756A6">
        <w:rPr>
          <w:rFonts w:ascii="Garamond" w:hAnsi="Garamond" w:cs="Times New Roman"/>
          <w:sz w:val="24"/>
          <w:szCs w:val="24"/>
        </w:rPr>
        <w:tab/>
      </w:r>
      <w:r w:rsidR="00D60D99" w:rsidRPr="005756A6">
        <w:rPr>
          <w:rFonts w:ascii="Garamond" w:hAnsi="Garamond" w:cs="Times New Roman"/>
          <w:sz w:val="24"/>
          <w:szCs w:val="24"/>
        </w:rPr>
        <w:t xml:space="preserve">Although the campaign treatments generally improved Abbott’s image among </w:t>
      </w:r>
      <w:r w:rsidR="005C4514" w:rsidRPr="005756A6">
        <w:rPr>
          <w:rFonts w:ascii="Garamond" w:hAnsi="Garamond" w:cs="Times New Roman"/>
          <w:sz w:val="24"/>
          <w:szCs w:val="24"/>
        </w:rPr>
        <w:t>voters</w:t>
      </w:r>
      <w:r w:rsidR="00D60D99" w:rsidRPr="005756A6">
        <w:rPr>
          <w:rFonts w:ascii="Garamond" w:hAnsi="Garamond" w:cs="Times New Roman"/>
          <w:sz w:val="24"/>
          <w:szCs w:val="24"/>
        </w:rPr>
        <w:t xml:space="preserve">, they were less successful at promoting turnout in what was an uncompetitive Republican primary election. </w:t>
      </w:r>
      <w:r w:rsidR="00AC560B" w:rsidRPr="005756A6">
        <w:rPr>
          <w:rFonts w:ascii="Garamond" w:hAnsi="Garamond" w:cs="Times New Roman"/>
          <w:sz w:val="24"/>
          <w:szCs w:val="24"/>
        </w:rPr>
        <w:t>Relying on individual-level data from the Texas state voter file,</w:t>
      </w:r>
      <w:r w:rsidR="00FA2C3D" w:rsidRPr="005756A6">
        <w:rPr>
          <w:rFonts w:ascii="Garamond" w:hAnsi="Garamond" w:cs="Times New Roman"/>
          <w:sz w:val="24"/>
          <w:szCs w:val="24"/>
        </w:rPr>
        <w:t xml:space="preserve"> and controlling for underlying voter turnout propensity (modeled using vote history and other demographics),</w:t>
      </w:r>
      <w:r w:rsidR="00AC560B" w:rsidRPr="005756A6">
        <w:rPr>
          <w:rFonts w:ascii="Garamond" w:hAnsi="Garamond" w:cs="Times New Roman"/>
          <w:sz w:val="24"/>
          <w:szCs w:val="24"/>
        </w:rPr>
        <w:t xml:space="preserve"> </w:t>
      </w:r>
      <w:r w:rsidR="004A0B4A" w:rsidRPr="005756A6">
        <w:rPr>
          <w:rFonts w:ascii="Garamond" w:hAnsi="Garamond" w:cs="Times New Roman"/>
          <w:sz w:val="24"/>
          <w:szCs w:val="24"/>
        </w:rPr>
        <w:t xml:space="preserve">we </w:t>
      </w:r>
      <w:r w:rsidR="0075604D" w:rsidRPr="005756A6">
        <w:rPr>
          <w:rFonts w:ascii="Garamond" w:hAnsi="Garamond" w:cs="Times New Roman"/>
          <w:sz w:val="24"/>
          <w:szCs w:val="24"/>
        </w:rPr>
        <w:t xml:space="preserve">find </w:t>
      </w:r>
      <w:r w:rsidR="004A0B4A" w:rsidRPr="005756A6">
        <w:rPr>
          <w:rFonts w:ascii="Garamond" w:hAnsi="Garamond" w:cs="Times New Roman"/>
          <w:sz w:val="24"/>
          <w:szCs w:val="24"/>
        </w:rPr>
        <w:t>there was virtually no difference in GOP primary turnout</w:t>
      </w:r>
      <w:r w:rsidR="00582740" w:rsidRPr="005756A6">
        <w:rPr>
          <w:rFonts w:ascii="Garamond" w:hAnsi="Garamond" w:cs="Times New Roman"/>
          <w:sz w:val="24"/>
          <w:szCs w:val="24"/>
        </w:rPr>
        <w:t xml:space="preserve"> among registered voters</w:t>
      </w:r>
      <w:r w:rsidR="004A0B4A" w:rsidRPr="005756A6">
        <w:rPr>
          <w:rFonts w:ascii="Garamond" w:hAnsi="Garamond" w:cs="Times New Roman"/>
          <w:sz w:val="24"/>
          <w:szCs w:val="24"/>
        </w:rPr>
        <w:t xml:space="preserve"> in the treatment markets </w:t>
      </w:r>
      <w:r w:rsidR="0075604D" w:rsidRPr="005756A6">
        <w:rPr>
          <w:rFonts w:ascii="Garamond" w:hAnsi="Garamond" w:cs="Times New Roman"/>
          <w:sz w:val="24"/>
          <w:szCs w:val="24"/>
        </w:rPr>
        <w:t xml:space="preserve">versus those in the </w:t>
      </w:r>
      <w:r w:rsidR="004A0B4A" w:rsidRPr="005756A6">
        <w:rPr>
          <w:rFonts w:ascii="Garamond" w:hAnsi="Garamond" w:cs="Times New Roman"/>
          <w:sz w:val="24"/>
          <w:szCs w:val="24"/>
        </w:rPr>
        <w:t>control markets</w:t>
      </w:r>
      <w:r w:rsidR="0075604D" w:rsidRPr="005756A6">
        <w:rPr>
          <w:rFonts w:ascii="Garamond" w:hAnsi="Garamond" w:cs="Times New Roman"/>
          <w:sz w:val="24"/>
          <w:szCs w:val="24"/>
        </w:rPr>
        <w:t>. A</w:t>
      </w:r>
      <w:r w:rsidR="009A2171" w:rsidRPr="005756A6">
        <w:rPr>
          <w:rFonts w:ascii="Garamond" w:hAnsi="Garamond" w:cs="Times New Roman"/>
          <w:sz w:val="24"/>
          <w:szCs w:val="24"/>
        </w:rPr>
        <w:t>t first blush, t</w:t>
      </w:r>
      <w:r w:rsidR="001C3D67" w:rsidRPr="005756A6">
        <w:rPr>
          <w:rFonts w:ascii="Garamond" w:hAnsi="Garamond" w:cs="Times New Roman"/>
          <w:sz w:val="24"/>
          <w:szCs w:val="24"/>
        </w:rPr>
        <w:t xml:space="preserve">his runs contrary to our </w:t>
      </w:r>
      <w:r w:rsidR="009A2171" w:rsidRPr="005756A6">
        <w:rPr>
          <w:rFonts w:ascii="Garamond" w:hAnsi="Garamond" w:cs="Times New Roman"/>
          <w:sz w:val="24"/>
          <w:szCs w:val="24"/>
        </w:rPr>
        <w:t>expectation of significant</w:t>
      </w:r>
      <w:r w:rsidR="001C3D67" w:rsidRPr="005756A6">
        <w:rPr>
          <w:rFonts w:ascii="Garamond" w:hAnsi="Garamond" w:cs="Times New Roman"/>
          <w:sz w:val="24"/>
          <w:szCs w:val="24"/>
        </w:rPr>
        <w:t xml:space="preserve"> overall effect</w:t>
      </w:r>
      <w:r w:rsidR="009A2171" w:rsidRPr="005756A6">
        <w:rPr>
          <w:rFonts w:ascii="Garamond" w:hAnsi="Garamond" w:cs="Times New Roman"/>
          <w:sz w:val="24"/>
          <w:szCs w:val="24"/>
        </w:rPr>
        <w:t>s</w:t>
      </w:r>
      <w:r w:rsidR="001C3D67" w:rsidRPr="005756A6">
        <w:rPr>
          <w:rFonts w:ascii="Garamond" w:hAnsi="Garamond" w:cs="Times New Roman"/>
          <w:sz w:val="24"/>
          <w:szCs w:val="24"/>
        </w:rPr>
        <w:t>.</w:t>
      </w:r>
      <w:r w:rsidR="00066271" w:rsidRPr="005756A6">
        <w:rPr>
          <w:rFonts w:ascii="Garamond" w:hAnsi="Garamond" w:cs="Times New Roman"/>
          <w:sz w:val="24"/>
          <w:szCs w:val="24"/>
        </w:rPr>
        <w:t xml:space="preserve"> But a closer look at the data reveals that while most campaign outreach had minimal effects on GOP primary turnout, some activities had a positive and significant impact.</w:t>
      </w:r>
    </w:p>
    <w:p w14:paraId="2BB7A814" w14:textId="1B31BE1E" w:rsidR="00F9236A" w:rsidRPr="005756A6" w:rsidRDefault="00D60D99" w:rsidP="00C02AC6">
      <w:pPr>
        <w:spacing w:after="0" w:line="480" w:lineRule="auto"/>
        <w:ind w:firstLine="720"/>
        <w:rPr>
          <w:rFonts w:ascii="Garamond" w:hAnsi="Garamond" w:cs="Times New Roman"/>
          <w:sz w:val="24"/>
          <w:szCs w:val="24"/>
        </w:rPr>
      </w:pPr>
      <w:r w:rsidRPr="005756A6">
        <w:rPr>
          <w:rFonts w:ascii="Garamond" w:hAnsi="Garamond" w:cs="Times New Roman"/>
          <w:sz w:val="24"/>
          <w:szCs w:val="24"/>
        </w:rPr>
        <w:t xml:space="preserve">Figure </w:t>
      </w:r>
      <w:r w:rsidR="00AC560B" w:rsidRPr="005756A6">
        <w:rPr>
          <w:rFonts w:ascii="Garamond" w:hAnsi="Garamond" w:cs="Times New Roman"/>
          <w:sz w:val="24"/>
          <w:szCs w:val="24"/>
        </w:rPr>
        <w:t>2 shows how the different campaign mode treatments affected primary turnout</w:t>
      </w:r>
      <w:r w:rsidR="00582740" w:rsidRPr="005756A6">
        <w:rPr>
          <w:rFonts w:ascii="Garamond" w:hAnsi="Garamond" w:cs="Times New Roman"/>
          <w:sz w:val="24"/>
          <w:szCs w:val="24"/>
        </w:rPr>
        <w:t xml:space="preserve"> within the treatment markets</w:t>
      </w:r>
      <w:r w:rsidR="005F67A8" w:rsidRPr="005756A6">
        <w:rPr>
          <w:rFonts w:ascii="Garamond" w:hAnsi="Garamond" w:cs="Times New Roman"/>
          <w:sz w:val="24"/>
          <w:szCs w:val="24"/>
        </w:rPr>
        <w:t xml:space="preserve"> (again, controlling for underlying voter turnout propensity)</w:t>
      </w:r>
      <w:r w:rsidR="00AC560B" w:rsidRPr="005756A6">
        <w:rPr>
          <w:rFonts w:ascii="Garamond" w:hAnsi="Garamond" w:cs="Times New Roman"/>
          <w:sz w:val="24"/>
          <w:szCs w:val="24"/>
        </w:rPr>
        <w:t>.</w:t>
      </w:r>
      <w:r w:rsidR="00962D94" w:rsidRPr="005756A6">
        <w:rPr>
          <w:rFonts w:ascii="Garamond" w:hAnsi="Garamond" w:cs="Times New Roman"/>
          <w:sz w:val="24"/>
          <w:szCs w:val="24"/>
        </w:rPr>
        <w:t xml:space="preserve"> </w:t>
      </w:r>
      <w:r w:rsidR="00C02AC6" w:rsidRPr="005756A6">
        <w:rPr>
          <w:rFonts w:ascii="Garamond" w:hAnsi="Garamond" w:cs="Times New Roman"/>
          <w:sz w:val="24"/>
          <w:szCs w:val="24"/>
        </w:rPr>
        <w:t xml:space="preserve">Some of </w:t>
      </w:r>
      <w:r w:rsidR="00C02AC6" w:rsidRPr="005756A6">
        <w:rPr>
          <w:rFonts w:ascii="Garamond" w:hAnsi="Garamond" w:cs="Times New Roman"/>
          <w:sz w:val="24"/>
          <w:szCs w:val="24"/>
        </w:rPr>
        <w:lastRenderedPageBreak/>
        <w:t xml:space="preserve">the effects are statistically and substantively impressive compared to the </w:t>
      </w:r>
      <w:r w:rsidR="004C7265" w:rsidRPr="005756A6">
        <w:rPr>
          <w:rFonts w:ascii="Garamond" w:hAnsi="Garamond" w:cs="Times New Roman"/>
          <w:sz w:val="24"/>
          <w:szCs w:val="24"/>
        </w:rPr>
        <w:t xml:space="preserve">baseline turnout </w:t>
      </w:r>
      <w:r w:rsidR="00C02AC6" w:rsidRPr="005756A6">
        <w:rPr>
          <w:rFonts w:ascii="Garamond" w:hAnsi="Garamond" w:cs="Times New Roman"/>
          <w:sz w:val="24"/>
          <w:szCs w:val="24"/>
        </w:rPr>
        <w:t>of</w:t>
      </w:r>
      <w:r w:rsidR="004C7265" w:rsidRPr="005756A6">
        <w:rPr>
          <w:rFonts w:ascii="Garamond" w:hAnsi="Garamond" w:cs="Times New Roman"/>
          <w:sz w:val="24"/>
          <w:szCs w:val="24"/>
        </w:rPr>
        <w:t xml:space="preserve"> 16.7 percent.</w:t>
      </w:r>
      <w:r w:rsidR="00C02AC6" w:rsidRPr="005756A6">
        <w:rPr>
          <w:rFonts w:ascii="Garamond" w:hAnsi="Garamond" w:cs="Times New Roman"/>
          <w:sz w:val="24"/>
          <w:szCs w:val="24"/>
        </w:rPr>
        <w:t xml:space="preserve"> </w:t>
      </w:r>
      <w:r w:rsidR="00AC6482" w:rsidRPr="005756A6">
        <w:rPr>
          <w:rFonts w:ascii="Garamond" w:hAnsi="Garamond" w:cs="Times New Roman"/>
          <w:sz w:val="24"/>
          <w:szCs w:val="24"/>
        </w:rPr>
        <w:t xml:space="preserve"> </w:t>
      </w:r>
      <w:r w:rsidR="00962D94" w:rsidRPr="005756A6">
        <w:rPr>
          <w:rFonts w:ascii="Garamond" w:hAnsi="Garamond" w:cs="Times New Roman"/>
          <w:sz w:val="24"/>
          <w:szCs w:val="24"/>
        </w:rPr>
        <w:t>For broadcast television, we</w:t>
      </w:r>
      <w:r w:rsidR="00427BAF" w:rsidRPr="005756A6">
        <w:rPr>
          <w:rFonts w:ascii="Garamond" w:hAnsi="Garamond" w:cs="Times New Roman"/>
          <w:sz w:val="24"/>
          <w:szCs w:val="24"/>
        </w:rPr>
        <w:t xml:space="preserve"> estimate</w:t>
      </w:r>
      <w:r w:rsidR="00962D94" w:rsidRPr="005756A6">
        <w:rPr>
          <w:rFonts w:ascii="Garamond" w:hAnsi="Garamond" w:cs="Times New Roman"/>
          <w:sz w:val="24"/>
          <w:szCs w:val="24"/>
        </w:rPr>
        <w:t xml:space="preserve"> that </w:t>
      </w:r>
      <w:r w:rsidR="001863CB" w:rsidRPr="005756A6">
        <w:rPr>
          <w:rFonts w:ascii="Garamond" w:hAnsi="Garamond" w:cs="Times New Roman"/>
          <w:sz w:val="24"/>
          <w:szCs w:val="24"/>
        </w:rPr>
        <w:t xml:space="preserve">traditional broadcast </w:t>
      </w:r>
      <w:r w:rsidR="00F534AB">
        <w:rPr>
          <w:rFonts w:ascii="Garamond" w:hAnsi="Garamond" w:cs="Times New Roman"/>
          <w:sz w:val="24"/>
          <w:szCs w:val="24"/>
        </w:rPr>
        <w:t>TV</w:t>
      </w:r>
      <w:r w:rsidR="001863CB" w:rsidRPr="005756A6">
        <w:rPr>
          <w:rFonts w:ascii="Garamond" w:hAnsi="Garamond" w:cs="Times New Roman"/>
          <w:sz w:val="24"/>
          <w:szCs w:val="24"/>
        </w:rPr>
        <w:t xml:space="preserve"> buys </w:t>
      </w:r>
      <w:r w:rsidR="00C02AC6" w:rsidRPr="005756A6">
        <w:rPr>
          <w:rFonts w:ascii="Garamond" w:hAnsi="Garamond" w:cs="Times New Roman"/>
          <w:sz w:val="24"/>
          <w:szCs w:val="24"/>
        </w:rPr>
        <w:t xml:space="preserve">boosted turnout by </w:t>
      </w:r>
      <w:r w:rsidR="00BA72C7" w:rsidRPr="005756A6">
        <w:rPr>
          <w:rFonts w:ascii="Garamond" w:hAnsi="Garamond" w:cs="Times New Roman"/>
          <w:sz w:val="24"/>
          <w:szCs w:val="24"/>
        </w:rPr>
        <w:t>+</w:t>
      </w:r>
      <w:r w:rsidR="00C02AC6" w:rsidRPr="005756A6">
        <w:rPr>
          <w:rFonts w:ascii="Garamond" w:hAnsi="Garamond" w:cs="Times New Roman"/>
          <w:sz w:val="24"/>
          <w:szCs w:val="24"/>
        </w:rPr>
        <w:t>2.3 points</w:t>
      </w:r>
      <w:r w:rsidR="001863CB" w:rsidRPr="005756A6">
        <w:rPr>
          <w:rFonts w:ascii="Garamond" w:hAnsi="Garamond" w:cs="Times New Roman"/>
          <w:sz w:val="24"/>
          <w:szCs w:val="24"/>
        </w:rPr>
        <w:t xml:space="preserve">, compared to </w:t>
      </w:r>
      <w:r w:rsidR="00BA72C7" w:rsidRPr="005756A6">
        <w:rPr>
          <w:rFonts w:ascii="Garamond" w:hAnsi="Garamond" w:cs="Times New Roman"/>
          <w:sz w:val="24"/>
          <w:szCs w:val="24"/>
        </w:rPr>
        <w:t>+</w:t>
      </w:r>
      <w:r w:rsidR="00C02AC6" w:rsidRPr="005756A6">
        <w:rPr>
          <w:rFonts w:ascii="Garamond" w:hAnsi="Garamond" w:cs="Times New Roman"/>
          <w:sz w:val="24"/>
          <w:szCs w:val="24"/>
        </w:rPr>
        <w:t>1.9 points</w:t>
      </w:r>
      <w:r w:rsidR="001863CB" w:rsidRPr="005756A6">
        <w:rPr>
          <w:rFonts w:ascii="Garamond" w:hAnsi="Garamond" w:cs="Times New Roman"/>
          <w:sz w:val="24"/>
          <w:szCs w:val="24"/>
        </w:rPr>
        <w:t xml:space="preserve"> for targeted </w:t>
      </w:r>
      <w:r w:rsidR="002B668D" w:rsidRPr="005756A6">
        <w:rPr>
          <w:rFonts w:ascii="Garamond" w:hAnsi="Garamond" w:cs="Times New Roman"/>
          <w:sz w:val="24"/>
          <w:szCs w:val="24"/>
        </w:rPr>
        <w:t xml:space="preserve">broadcast </w:t>
      </w:r>
      <w:r w:rsidR="00F534AB">
        <w:rPr>
          <w:rFonts w:ascii="Garamond" w:hAnsi="Garamond" w:cs="Times New Roman"/>
          <w:sz w:val="24"/>
          <w:szCs w:val="24"/>
        </w:rPr>
        <w:t>TV</w:t>
      </w:r>
      <w:r w:rsidR="001863CB" w:rsidRPr="005756A6">
        <w:rPr>
          <w:rFonts w:ascii="Garamond" w:hAnsi="Garamond" w:cs="Times New Roman"/>
          <w:sz w:val="24"/>
          <w:szCs w:val="24"/>
        </w:rPr>
        <w:t xml:space="preserve"> buys, and </w:t>
      </w:r>
      <w:r w:rsidR="00C02AC6" w:rsidRPr="005756A6">
        <w:rPr>
          <w:rFonts w:ascii="Garamond" w:hAnsi="Garamond" w:cs="Times New Roman"/>
          <w:sz w:val="24"/>
          <w:szCs w:val="24"/>
        </w:rPr>
        <w:t xml:space="preserve">-1.9 points </w:t>
      </w:r>
      <w:r w:rsidR="001863CB" w:rsidRPr="005756A6">
        <w:rPr>
          <w:rFonts w:ascii="Garamond" w:hAnsi="Garamond" w:cs="Times New Roman"/>
          <w:sz w:val="24"/>
          <w:szCs w:val="24"/>
        </w:rPr>
        <w:t xml:space="preserve">for </w:t>
      </w:r>
      <w:r w:rsidR="002B668D" w:rsidRPr="005756A6">
        <w:rPr>
          <w:rFonts w:ascii="Garamond" w:hAnsi="Garamond" w:cs="Times New Roman"/>
          <w:sz w:val="24"/>
          <w:szCs w:val="24"/>
        </w:rPr>
        <w:t xml:space="preserve">no broadcast </w:t>
      </w:r>
      <w:r w:rsidR="00F534AB">
        <w:rPr>
          <w:rFonts w:ascii="Garamond" w:hAnsi="Garamond" w:cs="Times New Roman"/>
          <w:sz w:val="24"/>
          <w:szCs w:val="24"/>
        </w:rPr>
        <w:t>TV</w:t>
      </w:r>
      <w:r w:rsidR="001863CB" w:rsidRPr="005756A6">
        <w:rPr>
          <w:rFonts w:ascii="Garamond" w:hAnsi="Garamond" w:cs="Times New Roman"/>
          <w:sz w:val="24"/>
          <w:szCs w:val="24"/>
        </w:rPr>
        <w:t xml:space="preserve">. </w:t>
      </w:r>
      <w:r w:rsidR="008C70E2" w:rsidRPr="005756A6">
        <w:rPr>
          <w:rFonts w:ascii="Garamond" w:hAnsi="Garamond" w:cs="Times New Roman"/>
          <w:sz w:val="24"/>
          <w:szCs w:val="24"/>
        </w:rPr>
        <w:t>Cable television, by contrast, was not as effective</w:t>
      </w:r>
      <w:r w:rsidR="004D62FA" w:rsidRPr="005756A6">
        <w:rPr>
          <w:rFonts w:ascii="Garamond" w:hAnsi="Garamond" w:cs="Times New Roman"/>
          <w:sz w:val="24"/>
          <w:szCs w:val="24"/>
        </w:rPr>
        <w:t xml:space="preserve">. </w:t>
      </w:r>
      <w:r w:rsidR="00B438F6" w:rsidRPr="005756A6">
        <w:rPr>
          <w:rFonts w:ascii="Garamond" w:hAnsi="Garamond" w:cs="Times New Roman"/>
          <w:sz w:val="24"/>
          <w:szCs w:val="24"/>
        </w:rPr>
        <w:t>T</w:t>
      </w:r>
      <w:r w:rsidR="004D62FA" w:rsidRPr="005756A6">
        <w:rPr>
          <w:rFonts w:ascii="Garamond" w:hAnsi="Garamond" w:cs="Times New Roman"/>
          <w:sz w:val="24"/>
          <w:szCs w:val="24"/>
        </w:rPr>
        <w:t xml:space="preserve">raditional cable </w:t>
      </w:r>
      <w:r w:rsidR="00F534AB">
        <w:rPr>
          <w:rFonts w:ascii="Garamond" w:hAnsi="Garamond" w:cs="Times New Roman"/>
          <w:sz w:val="24"/>
          <w:szCs w:val="24"/>
        </w:rPr>
        <w:t>TV</w:t>
      </w:r>
      <w:r w:rsidR="004D62FA" w:rsidRPr="005756A6">
        <w:rPr>
          <w:rFonts w:ascii="Garamond" w:hAnsi="Garamond" w:cs="Times New Roman"/>
          <w:sz w:val="24"/>
          <w:szCs w:val="24"/>
        </w:rPr>
        <w:t xml:space="preserve"> advertising buys </w:t>
      </w:r>
      <w:r w:rsidR="00B438F6" w:rsidRPr="005756A6">
        <w:rPr>
          <w:rFonts w:ascii="Garamond" w:hAnsi="Garamond" w:cs="Times New Roman"/>
          <w:sz w:val="24"/>
          <w:szCs w:val="24"/>
        </w:rPr>
        <w:t xml:space="preserve">boosted turnout by </w:t>
      </w:r>
      <w:r w:rsidR="002B668D" w:rsidRPr="005756A6">
        <w:rPr>
          <w:rFonts w:ascii="Garamond" w:hAnsi="Garamond" w:cs="Times New Roman"/>
          <w:sz w:val="24"/>
          <w:szCs w:val="24"/>
        </w:rPr>
        <w:t>+</w:t>
      </w:r>
      <w:r w:rsidR="00B438F6" w:rsidRPr="005756A6">
        <w:rPr>
          <w:rFonts w:ascii="Garamond" w:hAnsi="Garamond" w:cs="Times New Roman"/>
          <w:sz w:val="24"/>
          <w:szCs w:val="24"/>
        </w:rPr>
        <w:t xml:space="preserve">0.3 points, compared to -0.7 points for </w:t>
      </w:r>
      <w:r w:rsidR="00E66CC5" w:rsidRPr="005756A6">
        <w:rPr>
          <w:rFonts w:ascii="Garamond" w:hAnsi="Garamond" w:cs="Times New Roman"/>
          <w:sz w:val="24"/>
          <w:szCs w:val="24"/>
        </w:rPr>
        <w:t xml:space="preserve">targeted cable </w:t>
      </w:r>
      <w:r w:rsidR="00F534AB">
        <w:rPr>
          <w:rFonts w:ascii="Garamond" w:hAnsi="Garamond" w:cs="Times New Roman"/>
          <w:sz w:val="24"/>
          <w:szCs w:val="24"/>
        </w:rPr>
        <w:t>TV</w:t>
      </w:r>
      <w:r w:rsidR="00E66CC5" w:rsidRPr="005756A6">
        <w:rPr>
          <w:rFonts w:ascii="Garamond" w:hAnsi="Garamond" w:cs="Times New Roman"/>
          <w:sz w:val="24"/>
          <w:szCs w:val="24"/>
        </w:rPr>
        <w:t xml:space="preserve"> buys</w:t>
      </w:r>
      <w:r w:rsidR="00B438F6" w:rsidRPr="005756A6">
        <w:rPr>
          <w:rFonts w:ascii="Garamond" w:hAnsi="Garamond" w:cs="Times New Roman"/>
          <w:sz w:val="24"/>
          <w:szCs w:val="24"/>
        </w:rPr>
        <w:t>, and +0.7 points for markets not receiving a cable TV treatment</w:t>
      </w:r>
      <w:r w:rsidR="00E66CC5" w:rsidRPr="005756A6">
        <w:rPr>
          <w:rFonts w:ascii="Garamond" w:hAnsi="Garamond" w:cs="Times New Roman"/>
          <w:sz w:val="24"/>
          <w:szCs w:val="24"/>
        </w:rPr>
        <w:t xml:space="preserve">. </w:t>
      </w:r>
      <w:r w:rsidR="00B438F6" w:rsidRPr="005756A6">
        <w:rPr>
          <w:rFonts w:ascii="Garamond" w:hAnsi="Garamond" w:cs="Times New Roman"/>
          <w:sz w:val="24"/>
          <w:szCs w:val="24"/>
        </w:rPr>
        <w:t xml:space="preserve">Thus, for both broadcast and (especially) cable TV, targeted buys appear to be better for </w:t>
      </w:r>
      <w:r w:rsidR="00733994" w:rsidRPr="005756A6">
        <w:rPr>
          <w:rFonts w:ascii="Garamond" w:hAnsi="Garamond" w:cs="Times New Roman"/>
          <w:sz w:val="24"/>
          <w:szCs w:val="24"/>
        </w:rPr>
        <w:t xml:space="preserve">candidate affect than </w:t>
      </w:r>
      <w:r w:rsidR="00B438F6" w:rsidRPr="005756A6">
        <w:rPr>
          <w:rFonts w:ascii="Garamond" w:hAnsi="Garamond" w:cs="Times New Roman"/>
          <w:sz w:val="24"/>
          <w:szCs w:val="24"/>
        </w:rPr>
        <w:t>turnout</w:t>
      </w:r>
      <w:r w:rsidR="00733994" w:rsidRPr="005756A6">
        <w:rPr>
          <w:rFonts w:ascii="Garamond" w:hAnsi="Garamond" w:cs="Times New Roman"/>
          <w:sz w:val="24"/>
          <w:szCs w:val="24"/>
        </w:rPr>
        <w:t>.</w:t>
      </w:r>
    </w:p>
    <w:p w14:paraId="3D4D04AD" w14:textId="4EB9307F" w:rsidR="00B56097" w:rsidRPr="005756A6" w:rsidRDefault="00B56097" w:rsidP="00B56097">
      <w:pPr>
        <w:spacing w:after="0" w:line="480" w:lineRule="auto"/>
        <w:jc w:val="center"/>
        <w:rPr>
          <w:rFonts w:ascii="Garamond" w:hAnsi="Garamond" w:cs="Times New Roman"/>
          <w:sz w:val="24"/>
          <w:szCs w:val="24"/>
        </w:rPr>
      </w:pPr>
      <w:r w:rsidRPr="005756A6">
        <w:rPr>
          <w:rFonts w:ascii="Garamond" w:hAnsi="Garamond" w:cs="Times New Roman"/>
          <w:sz w:val="24"/>
          <w:szCs w:val="24"/>
        </w:rPr>
        <w:t>[Figure 2 about here]</w:t>
      </w:r>
    </w:p>
    <w:p w14:paraId="3FB7C2C2" w14:textId="395E5A00" w:rsidR="00733994" w:rsidRPr="005756A6" w:rsidRDefault="00665B0E" w:rsidP="002D6C93">
      <w:pPr>
        <w:spacing w:after="0" w:line="480" w:lineRule="auto"/>
        <w:rPr>
          <w:rFonts w:ascii="Garamond" w:hAnsi="Garamond" w:cs="Times New Roman"/>
          <w:sz w:val="24"/>
          <w:szCs w:val="24"/>
        </w:rPr>
      </w:pPr>
      <w:r w:rsidRPr="005756A6">
        <w:rPr>
          <w:rFonts w:ascii="Garamond" w:hAnsi="Garamond" w:cs="Times New Roman"/>
          <w:sz w:val="24"/>
          <w:szCs w:val="24"/>
        </w:rPr>
        <w:tab/>
        <w:t xml:space="preserve">For radio treatments, we </w:t>
      </w:r>
      <w:r w:rsidR="0022651F" w:rsidRPr="005756A6">
        <w:rPr>
          <w:rFonts w:ascii="Garamond" w:hAnsi="Garamond" w:cs="Times New Roman"/>
          <w:sz w:val="24"/>
          <w:szCs w:val="24"/>
        </w:rPr>
        <w:t>confirm</w:t>
      </w:r>
      <w:r w:rsidRPr="005756A6">
        <w:rPr>
          <w:rFonts w:ascii="Garamond" w:hAnsi="Garamond" w:cs="Times New Roman"/>
          <w:sz w:val="24"/>
          <w:szCs w:val="24"/>
        </w:rPr>
        <w:t xml:space="preserve"> the </w:t>
      </w:r>
      <w:r w:rsidR="00FF5846" w:rsidRPr="005756A6">
        <w:rPr>
          <w:rFonts w:ascii="Garamond" w:hAnsi="Garamond" w:cs="Times New Roman"/>
          <w:sz w:val="24"/>
          <w:szCs w:val="24"/>
        </w:rPr>
        <w:t xml:space="preserve">bullish </w:t>
      </w:r>
      <w:r w:rsidRPr="005756A6">
        <w:rPr>
          <w:rFonts w:ascii="Garamond" w:hAnsi="Garamond" w:cs="Times New Roman"/>
          <w:sz w:val="24"/>
          <w:szCs w:val="24"/>
        </w:rPr>
        <w:t xml:space="preserve">conventional wisdom: media markets receiving radio advertisements produce </w:t>
      </w:r>
      <w:r w:rsidR="008C70E2" w:rsidRPr="005756A6">
        <w:rPr>
          <w:rFonts w:ascii="Garamond" w:hAnsi="Garamond" w:cs="Times New Roman"/>
          <w:sz w:val="24"/>
          <w:szCs w:val="24"/>
        </w:rPr>
        <w:t xml:space="preserve">significantly higher </w:t>
      </w:r>
      <w:r w:rsidRPr="005756A6">
        <w:rPr>
          <w:rFonts w:ascii="Garamond" w:hAnsi="Garamond" w:cs="Times New Roman"/>
          <w:sz w:val="24"/>
          <w:szCs w:val="24"/>
        </w:rPr>
        <w:t xml:space="preserve">turnout rates than </w:t>
      </w:r>
      <w:r w:rsidR="00B438F6" w:rsidRPr="005756A6">
        <w:rPr>
          <w:rFonts w:ascii="Garamond" w:hAnsi="Garamond" w:cs="Times New Roman"/>
          <w:sz w:val="24"/>
          <w:szCs w:val="24"/>
        </w:rPr>
        <w:t xml:space="preserve">either the baseline or </w:t>
      </w:r>
      <w:r w:rsidR="00427BAF" w:rsidRPr="005756A6">
        <w:rPr>
          <w:rFonts w:ascii="Garamond" w:hAnsi="Garamond" w:cs="Times New Roman"/>
          <w:sz w:val="24"/>
          <w:szCs w:val="24"/>
        </w:rPr>
        <w:t xml:space="preserve">the </w:t>
      </w:r>
      <w:r w:rsidRPr="005756A6">
        <w:rPr>
          <w:rFonts w:ascii="Garamond" w:hAnsi="Garamond" w:cs="Times New Roman"/>
          <w:sz w:val="24"/>
          <w:szCs w:val="24"/>
        </w:rPr>
        <w:t xml:space="preserve">radio </w:t>
      </w:r>
      <w:r w:rsidR="00427BAF" w:rsidRPr="005756A6">
        <w:rPr>
          <w:rFonts w:ascii="Garamond" w:hAnsi="Garamond" w:cs="Times New Roman"/>
          <w:sz w:val="24"/>
          <w:szCs w:val="24"/>
        </w:rPr>
        <w:t>control markets</w:t>
      </w:r>
      <w:r w:rsidRPr="005756A6">
        <w:rPr>
          <w:rFonts w:ascii="Garamond" w:hAnsi="Garamond" w:cs="Times New Roman"/>
          <w:sz w:val="24"/>
          <w:szCs w:val="24"/>
        </w:rPr>
        <w:t xml:space="preserve">. </w:t>
      </w:r>
      <w:r w:rsidR="0031366B" w:rsidRPr="005756A6">
        <w:rPr>
          <w:rFonts w:ascii="Garamond" w:hAnsi="Garamond" w:cs="Times New Roman"/>
          <w:sz w:val="24"/>
          <w:szCs w:val="24"/>
        </w:rPr>
        <w:t xml:space="preserve">This is </w:t>
      </w:r>
      <w:r w:rsidR="008C70E2" w:rsidRPr="005756A6">
        <w:rPr>
          <w:rFonts w:ascii="Garamond" w:hAnsi="Garamond" w:cs="Times New Roman"/>
          <w:sz w:val="24"/>
          <w:szCs w:val="24"/>
        </w:rPr>
        <w:t>despite</w:t>
      </w:r>
      <w:r w:rsidR="0031366B" w:rsidRPr="005756A6">
        <w:rPr>
          <w:rFonts w:ascii="Garamond" w:hAnsi="Garamond" w:cs="Times New Roman"/>
          <w:sz w:val="24"/>
          <w:szCs w:val="24"/>
        </w:rPr>
        <w:t xml:space="preserve"> the fact that the radio advertisements were largely focused on Abbott’s experience and issue positions</w:t>
      </w:r>
      <w:r w:rsidR="008C70E2" w:rsidRPr="005756A6">
        <w:rPr>
          <w:rFonts w:ascii="Garamond" w:hAnsi="Garamond" w:cs="Times New Roman"/>
          <w:sz w:val="24"/>
          <w:szCs w:val="24"/>
        </w:rPr>
        <w:t xml:space="preserve">, and </w:t>
      </w:r>
      <w:r w:rsidR="00FB389D" w:rsidRPr="005756A6">
        <w:rPr>
          <w:rFonts w:ascii="Garamond" w:hAnsi="Garamond" w:cs="Times New Roman"/>
          <w:sz w:val="24"/>
          <w:szCs w:val="24"/>
        </w:rPr>
        <w:t>provide</w:t>
      </w:r>
      <w:r w:rsidR="008C70E2" w:rsidRPr="005756A6">
        <w:rPr>
          <w:rFonts w:ascii="Garamond" w:hAnsi="Garamond" w:cs="Times New Roman"/>
          <w:sz w:val="24"/>
          <w:szCs w:val="24"/>
        </w:rPr>
        <w:t>d neither</w:t>
      </w:r>
      <w:r w:rsidR="00FB389D" w:rsidRPr="005756A6">
        <w:rPr>
          <w:rFonts w:ascii="Garamond" w:hAnsi="Garamond" w:cs="Times New Roman"/>
          <w:sz w:val="24"/>
          <w:szCs w:val="24"/>
        </w:rPr>
        <w:t xml:space="preserve"> “nuts and bolts” information about how and where to vote </w:t>
      </w:r>
      <w:r w:rsidR="001918FF" w:rsidRPr="005756A6">
        <w:rPr>
          <w:rFonts w:ascii="Garamond" w:hAnsi="Garamond" w:cs="Times New Roman"/>
          <w:sz w:val="24"/>
          <w:szCs w:val="24"/>
        </w:rPr>
        <w:t>n</w:t>
      </w:r>
      <w:r w:rsidR="00FB389D" w:rsidRPr="005756A6">
        <w:rPr>
          <w:rFonts w:ascii="Garamond" w:hAnsi="Garamond" w:cs="Times New Roman"/>
          <w:sz w:val="24"/>
          <w:szCs w:val="24"/>
        </w:rPr>
        <w:t>or negative messages designed to drive partisans to the polls.</w:t>
      </w:r>
      <w:r w:rsidR="001918FF" w:rsidRPr="005756A6">
        <w:rPr>
          <w:rFonts w:ascii="Garamond" w:hAnsi="Garamond" w:cs="Times New Roman"/>
          <w:sz w:val="24"/>
          <w:szCs w:val="24"/>
        </w:rPr>
        <w:t xml:space="preserve"> Radio, it appears, is an effective medium for both persuasion and mobilization.</w:t>
      </w:r>
      <w:r w:rsidR="0031366B" w:rsidRPr="005756A6">
        <w:rPr>
          <w:rFonts w:ascii="Garamond" w:hAnsi="Garamond" w:cs="Times New Roman"/>
          <w:sz w:val="24"/>
          <w:szCs w:val="24"/>
        </w:rPr>
        <w:t xml:space="preserve"> </w:t>
      </w:r>
    </w:p>
    <w:p w14:paraId="50453E90" w14:textId="77777777" w:rsidR="00B438F6" w:rsidRPr="005756A6" w:rsidRDefault="0031366B" w:rsidP="002D6C93">
      <w:pPr>
        <w:spacing w:after="0" w:line="480" w:lineRule="auto"/>
        <w:rPr>
          <w:rFonts w:ascii="Garamond" w:hAnsi="Garamond" w:cs="Times New Roman"/>
          <w:sz w:val="24"/>
          <w:szCs w:val="24"/>
        </w:rPr>
      </w:pPr>
      <w:r w:rsidRPr="005756A6">
        <w:rPr>
          <w:rFonts w:ascii="Garamond" w:hAnsi="Garamond" w:cs="Times New Roman"/>
          <w:sz w:val="24"/>
          <w:szCs w:val="24"/>
        </w:rPr>
        <w:tab/>
        <w:t xml:space="preserve">As with the favorability analysis, the turnout analysis reveals online outreach to have mixed effects. </w:t>
      </w:r>
      <w:r w:rsidR="009E0328" w:rsidRPr="005756A6">
        <w:rPr>
          <w:rFonts w:ascii="Garamond" w:hAnsi="Garamond" w:cs="Times New Roman"/>
          <w:sz w:val="24"/>
          <w:szCs w:val="24"/>
        </w:rPr>
        <w:t>Facebook adver</w:t>
      </w:r>
      <w:r w:rsidR="00B438F6" w:rsidRPr="005756A6">
        <w:rPr>
          <w:rFonts w:ascii="Garamond" w:hAnsi="Garamond" w:cs="Times New Roman"/>
          <w:sz w:val="24"/>
          <w:szCs w:val="24"/>
        </w:rPr>
        <w:t>tising does not improve turnout</w:t>
      </w:r>
      <w:r w:rsidR="009E0328" w:rsidRPr="005756A6">
        <w:rPr>
          <w:rFonts w:ascii="Garamond" w:hAnsi="Garamond" w:cs="Times New Roman"/>
          <w:sz w:val="24"/>
          <w:szCs w:val="24"/>
        </w:rPr>
        <w:t>, and nei</w:t>
      </w:r>
      <w:r w:rsidR="00B438F6" w:rsidRPr="005756A6">
        <w:rPr>
          <w:rFonts w:ascii="Garamond" w:hAnsi="Garamond" w:cs="Times New Roman"/>
          <w:sz w:val="24"/>
          <w:szCs w:val="24"/>
        </w:rPr>
        <w:t>ther does pre-roll advertising</w:t>
      </w:r>
      <w:r w:rsidR="009E0328" w:rsidRPr="005756A6">
        <w:rPr>
          <w:rFonts w:ascii="Garamond" w:hAnsi="Garamond" w:cs="Times New Roman"/>
          <w:sz w:val="24"/>
          <w:szCs w:val="24"/>
        </w:rPr>
        <w:t>. Internet advertising, however, produces a small positive effect.</w:t>
      </w:r>
      <w:r w:rsidR="007C42BF" w:rsidRPr="005756A6">
        <w:rPr>
          <w:rFonts w:ascii="Garamond" w:hAnsi="Garamond" w:cs="Times New Roman"/>
          <w:sz w:val="24"/>
          <w:szCs w:val="24"/>
        </w:rPr>
        <w:t xml:space="preserve"> </w:t>
      </w:r>
    </w:p>
    <w:p w14:paraId="2324B45B" w14:textId="7815B215" w:rsidR="007C42BF" w:rsidRPr="005756A6" w:rsidRDefault="007C42BF" w:rsidP="00B438F6">
      <w:pPr>
        <w:spacing w:after="0" w:line="480" w:lineRule="auto"/>
        <w:ind w:firstLine="720"/>
        <w:rPr>
          <w:rFonts w:ascii="Garamond" w:hAnsi="Garamond" w:cs="Times New Roman"/>
          <w:sz w:val="24"/>
          <w:szCs w:val="24"/>
        </w:rPr>
      </w:pPr>
      <w:r w:rsidRPr="005756A6">
        <w:rPr>
          <w:rFonts w:ascii="Garamond" w:hAnsi="Garamond" w:cs="Times New Roman"/>
          <w:sz w:val="24"/>
          <w:szCs w:val="24"/>
        </w:rPr>
        <w:t>The turnout effects associated with direct mail a</w:t>
      </w:r>
      <w:r w:rsidR="003B7DC1" w:rsidRPr="005756A6">
        <w:rPr>
          <w:rFonts w:ascii="Garamond" w:hAnsi="Garamond" w:cs="Times New Roman"/>
          <w:sz w:val="24"/>
          <w:szCs w:val="24"/>
        </w:rPr>
        <w:t>re</w:t>
      </w:r>
      <w:r w:rsidRPr="005756A6">
        <w:rPr>
          <w:rFonts w:ascii="Garamond" w:hAnsi="Garamond" w:cs="Times New Roman"/>
          <w:sz w:val="24"/>
          <w:szCs w:val="24"/>
        </w:rPr>
        <w:t xml:space="preserve"> quite similar to </w:t>
      </w:r>
      <w:r w:rsidR="00B438F6" w:rsidRPr="005756A6">
        <w:rPr>
          <w:rFonts w:ascii="Garamond" w:hAnsi="Garamond" w:cs="Times New Roman"/>
          <w:sz w:val="24"/>
          <w:szCs w:val="24"/>
        </w:rPr>
        <w:t xml:space="preserve">those for Internet advertising. </w:t>
      </w:r>
      <w:r w:rsidR="00AC6482" w:rsidRPr="005756A6">
        <w:rPr>
          <w:rFonts w:ascii="Garamond" w:hAnsi="Garamond" w:cs="Times New Roman"/>
          <w:sz w:val="24"/>
          <w:szCs w:val="24"/>
        </w:rPr>
        <w:t xml:space="preserve">Though not spectacular, this </w:t>
      </w:r>
      <w:r w:rsidR="009D0F6B" w:rsidRPr="005756A6">
        <w:rPr>
          <w:rFonts w:ascii="Garamond" w:hAnsi="Garamond" w:cs="Times New Roman"/>
          <w:sz w:val="24"/>
          <w:szCs w:val="24"/>
        </w:rPr>
        <w:t xml:space="preserve">effect </w:t>
      </w:r>
      <w:r w:rsidR="0022651F" w:rsidRPr="005756A6">
        <w:rPr>
          <w:rFonts w:ascii="Garamond" w:hAnsi="Garamond" w:cs="Times New Roman"/>
          <w:sz w:val="24"/>
          <w:szCs w:val="24"/>
        </w:rPr>
        <w:t>validates</w:t>
      </w:r>
      <w:r w:rsidR="00AC6482" w:rsidRPr="005756A6">
        <w:rPr>
          <w:rFonts w:ascii="Garamond" w:hAnsi="Garamond" w:cs="Times New Roman"/>
          <w:sz w:val="24"/>
          <w:szCs w:val="24"/>
        </w:rPr>
        <w:t xml:space="preserve"> </w:t>
      </w:r>
      <w:r w:rsidR="009D0F6B" w:rsidRPr="005756A6">
        <w:rPr>
          <w:rFonts w:ascii="Garamond" w:hAnsi="Garamond" w:cs="Times New Roman"/>
          <w:sz w:val="24"/>
          <w:szCs w:val="24"/>
        </w:rPr>
        <w:t>the</w:t>
      </w:r>
      <w:r w:rsidR="00AC6482" w:rsidRPr="005756A6">
        <w:rPr>
          <w:rFonts w:ascii="Garamond" w:hAnsi="Garamond" w:cs="Times New Roman"/>
          <w:sz w:val="24"/>
          <w:szCs w:val="24"/>
        </w:rPr>
        <w:t xml:space="preserve"> medium </w:t>
      </w:r>
      <w:r w:rsidR="009D0F6B" w:rsidRPr="005756A6">
        <w:rPr>
          <w:rFonts w:ascii="Garamond" w:hAnsi="Garamond" w:cs="Times New Roman"/>
          <w:sz w:val="24"/>
          <w:szCs w:val="24"/>
        </w:rPr>
        <w:t xml:space="preserve">as a </w:t>
      </w:r>
      <w:r w:rsidR="00AC6482" w:rsidRPr="005756A6">
        <w:rPr>
          <w:rFonts w:ascii="Garamond" w:hAnsi="Garamond" w:cs="Times New Roman"/>
          <w:sz w:val="24"/>
          <w:szCs w:val="24"/>
        </w:rPr>
        <w:t>relatively inexpensive mobilizing agent.</w:t>
      </w:r>
      <w:r w:rsidR="00427BAF" w:rsidRPr="005756A6">
        <w:rPr>
          <w:rFonts w:ascii="Garamond" w:hAnsi="Garamond" w:cs="Times New Roman"/>
          <w:sz w:val="24"/>
          <w:szCs w:val="24"/>
        </w:rPr>
        <w:t xml:space="preserve"> Also, the Abbott campaign’s direct mail pieces were the only </w:t>
      </w:r>
      <w:r w:rsidR="0022651F" w:rsidRPr="005756A6">
        <w:rPr>
          <w:rFonts w:ascii="Garamond" w:hAnsi="Garamond" w:cs="Times New Roman"/>
          <w:sz w:val="24"/>
          <w:szCs w:val="24"/>
        </w:rPr>
        <w:t>treatments</w:t>
      </w:r>
      <w:r w:rsidR="00427BAF" w:rsidRPr="005756A6">
        <w:rPr>
          <w:rFonts w:ascii="Garamond" w:hAnsi="Garamond" w:cs="Times New Roman"/>
          <w:sz w:val="24"/>
          <w:szCs w:val="24"/>
        </w:rPr>
        <w:t xml:space="preserve"> to include a turnout message.</w:t>
      </w:r>
    </w:p>
    <w:p w14:paraId="5227D702" w14:textId="6B31F653" w:rsidR="00EB1348" w:rsidRPr="005756A6" w:rsidRDefault="00733994" w:rsidP="002D6C93">
      <w:pPr>
        <w:spacing w:after="0" w:line="480" w:lineRule="auto"/>
        <w:rPr>
          <w:rFonts w:ascii="Garamond" w:hAnsi="Garamond" w:cs="Times New Roman"/>
          <w:sz w:val="24"/>
          <w:szCs w:val="24"/>
        </w:rPr>
      </w:pPr>
      <w:r w:rsidRPr="005756A6">
        <w:rPr>
          <w:rFonts w:ascii="Garamond" w:hAnsi="Garamond" w:cs="Times New Roman"/>
          <w:sz w:val="24"/>
          <w:szCs w:val="24"/>
        </w:rPr>
        <w:tab/>
      </w:r>
      <w:r w:rsidR="00B438F6" w:rsidRPr="005756A6">
        <w:rPr>
          <w:rFonts w:ascii="Garamond" w:hAnsi="Garamond" w:cs="Times New Roman"/>
          <w:sz w:val="24"/>
          <w:szCs w:val="24"/>
        </w:rPr>
        <w:t>In sum</w:t>
      </w:r>
      <w:r w:rsidR="00AC6482" w:rsidRPr="005756A6">
        <w:rPr>
          <w:rFonts w:ascii="Garamond" w:hAnsi="Garamond" w:cs="Times New Roman"/>
          <w:sz w:val="24"/>
          <w:szCs w:val="24"/>
        </w:rPr>
        <w:t xml:space="preserve">, traditional broadcast television advertising has the largest </w:t>
      </w:r>
      <w:r w:rsidR="00B447CE" w:rsidRPr="005756A6">
        <w:rPr>
          <w:rFonts w:ascii="Garamond" w:hAnsi="Garamond" w:cs="Times New Roman"/>
          <w:sz w:val="24"/>
          <w:szCs w:val="24"/>
        </w:rPr>
        <w:t xml:space="preserve">impact </w:t>
      </w:r>
      <w:r w:rsidR="00AC6482" w:rsidRPr="005756A6">
        <w:rPr>
          <w:rFonts w:ascii="Garamond" w:hAnsi="Garamond" w:cs="Times New Roman"/>
          <w:sz w:val="24"/>
          <w:szCs w:val="24"/>
        </w:rPr>
        <w:t xml:space="preserve">on Republican primary turnout, followed by </w:t>
      </w:r>
      <w:r w:rsidR="001918FF" w:rsidRPr="005756A6">
        <w:rPr>
          <w:rFonts w:ascii="Garamond" w:hAnsi="Garamond" w:cs="Times New Roman"/>
          <w:sz w:val="24"/>
          <w:szCs w:val="24"/>
        </w:rPr>
        <w:t xml:space="preserve">targeted broadcast </w:t>
      </w:r>
      <w:r w:rsidR="00AC6482" w:rsidRPr="005756A6">
        <w:rPr>
          <w:rFonts w:ascii="Garamond" w:hAnsi="Garamond" w:cs="Times New Roman"/>
          <w:sz w:val="24"/>
          <w:szCs w:val="24"/>
        </w:rPr>
        <w:t xml:space="preserve">television advertising and </w:t>
      </w:r>
      <w:r w:rsidR="001918FF" w:rsidRPr="005756A6">
        <w:rPr>
          <w:rFonts w:ascii="Garamond" w:hAnsi="Garamond" w:cs="Times New Roman"/>
          <w:sz w:val="24"/>
          <w:szCs w:val="24"/>
        </w:rPr>
        <w:t>radio</w:t>
      </w:r>
      <w:r w:rsidR="00AC6482" w:rsidRPr="005756A6">
        <w:rPr>
          <w:rFonts w:ascii="Garamond" w:hAnsi="Garamond" w:cs="Times New Roman"/>
          <w:sz w:val="24"/>
          <w:szCs w:val="24"/>
        </w:rPr>
        <w:t xml:space="preserve">. </w:t>
      </w:r>
      <w:r w:rsidR="001918FF" w:rsidRPr="005756A6">
        <w:rPr>
          <w:rFonts w:ascii="Garamond" w:hAnsi="Garamond" w:cs="Times New Roman"/>
          <w:sz w:val="24"/>
          <w:szCs w:val="24"/>
        </w:rPr>
        <w:t>Traditional cable, d</w:t>
      </w:r>
      <w:r w:rsidR="00AC6482" w:rsidRPr="005756A6">
        <w:rPr>
          <w:rFonts w:ascii="Garamond" w:hAnsi="Garamond" w:cs="Times New Roman"/>
          <w:sz w:val="24"/>
          <w:szCs w:val="24"/>
        </w:rPr>
        <w:t>irect mail</w:t>
      </w:r>
      <w:r w:rsidR="001918FF" w:rsidRPr="005756A6">
        <w:rPr>
          <w:rFonts w:ascii="Garamond" w:hAnsi="Garamond" w:cs="Times New Roman"/>
          <w:sz w:val="24"/>
          <w:szCs w:val="24"/>
        </w:rPr>
        <w:t>,</w:t>
      </w:r>
      <w:r w:rsidR="00AC6482" w:rsidRPr="005756A6">
        <w:rPr>
          <w:rFonts w:ascii="Garamond" w:hAnsi="Garamond" w:cs="Times New Roman"/>
          <w:sz w:val="24"/>
          <w:szCs w:val="24"/>
        </w:rPr>
        <w:t xml:space="preserve"> and Internet advertising have small positive effects, while other modes of campaign </w:t>
      </w:r>
      <w:r w:rsidR="00AC6482" w:rsidRPr="005756A6">
        <w:rPr>
          <w:rFonts w:ascii="Garamond" w:hAnsi="Garamond" w:cs="Times New Roman"/>
          <w:sz w:val="24"/>
          <w:szCs w:val="24"/>
        </w:rPr>
        <w:lastRenderedPageBreak/>
        <w:t xml:space="preserve">outreach </w:t>
      </w:r>
      <w:r w:rsidR="00AF3FC2" w:rsidRPr="005756A6">
        <w:rPr>
          <w:rFonts w:ascii="Garamond" w:hAnsi="Garamond" w:cs="Times New Roman"/>
          <w:sz w:val="24"/>
          <w:szCs w:val="24"/>
        </w:rPr>
        <w:t xml:space="preserve">did not boost </w:t>
      </w:r>
      <w:r w:rsidR="00AC6482" w:rsidRPr="005756A6">
        <w:rPr>
          <w:rFonts w:ascii="Garamond" w:hAnsi="Garamond" w:cs="Times New Roman"/>
          <w:sz w:val="24"/>
          <w:szCs w:val="24"/>
        </w:rPr>
        <w:t xml:space="preserve">turnout. </w:t>
      </w:r>
      <w:r w:rsidR="00AF3FC2" w:rsidRPr="005756A6">
        <w:rPr>
          <w:rFonts w:ascii="Garamond" w:hAnsi="Garamond" w:cs="Times New Roman"/>
          <w:sz w:val="24"/>
          <w:szCs w:val="24"/>
        </w:rPr>
        <w:t xml:space="preserve">The disparate findings by mode—some of which are statistically and substantively </w:t>
      </w:r>
      <w:r w:rsidR="00972C11" w:rsidRPr="005756A6">
        <w:rPr>
          <w:rFonts w:ascii="Garamond" w:hAnsi="Garamond" w:cs="Times New Roman"/>
          <w:sz w:val="24"/>
          <w:szCs w:val="24"/>
        </w:rPr>
        <w:t>significant</w:t>
      </w:r>
      <w:r w:rsidR="00AF3FC2" w:rsidRPr="005756A6">
        <w:rPr>
          <w:rFonts w:ascii="Garamond" w:hAnsi="Garamond" w:cs="Times New Roman"/>
          <w:sz w:val="24"/>
          <w:szCs w:val="24"/>
        </w:rPr>
        <w:t xml:space="preserve">—conform to our expectations. In particular, we are impressed by the power of radio and broadcast </w:t>
      </w:r>
      <w:r w:rsidR="00F534AB">
        <w:rPr>
          <w:rFonts w:ascii="Garamond" w:hAnsi="Garamond" w:cs="Times New Roman"/>
          <w:sz w:val="24"/>
          <w:szCs w:val="24"/>
        </w:rPr>
        <w:t>TV</w:t>
      </w:r>
      <w:r w:rsidR="00AF3FC2" w:rsidRPr="005756A6">
        <w:rPr>
          <w:rFonts w:ascii="Garamond" w:hAnsi="Garamond" w:cs="Times New Roman"/>
          <w:sz w:val="24"/>
          <w:szCs w:val="24"/>
        </w:rPr>
        <w:t xml:space="preserve"> (even in an online age). Conversely, the smallish aggregate effects </w:t>
      </w:r>
      <w:r w:rsidR="00AC6482" w:rsidRPr="005756A6">
        <w:rPr>
          <w:rFonts w:ascii="Garamond" w:hAnsi="Garamond" w:cs="Times New Roman"/>
          <w:sz w:val="24"/>
          <w:szCs w:val="24"/>
        </w:rPr>
        <w:t xml:space="preserve">might be </w:t>
      </w:r>
      <w:r w:rsidR="00AF3FC2" w:rsidRPr="005756A6">
        <w:rPr>
          <w:rFonts w:ascii="Garamond" w:hAnsi="Garamond" w:cs="Times New Roman"/>
          <w:sz w:val="24"/>
          <w:szCs w:val="24"/>
        </w:rPr>
        <w:t xml:space="preserve">attributable to both the relatively uncompetitive </w:t>
      </w:r>
      <w:r w:rsidR="00AC6482" w:rsidRPr="005756A6">
        <w:rPr>
          <w:rFonts w:ascii="Garamond" w:hAnsi="Garamond" w:cs="Times New Roman"/>
          <w:sz w:val="24"/>
          <w:szCs w:val="24"/>
        </w:rPr>
        <w:t>nature of the election</w:t>
      </w:r>
      <w:r w:rsidR="00AF3FC2" w:rsidRPr="005756A6">
        <w:rPr>
          <w:rFonts w:ascii="Garamond" w:hAnsi="Garamond" w:cs="Times New Roman"/>
          <w:sz w:val="24"/>
          <w:szCs w:val="24"/>
        </w:rPr>
        <w:t xml:space="preserve"> and the lack of </w:t>
      </w:r>
      <w:r w:rsidR="00972C11" w:rsidRPr="005756A6">
        <w:rPr>
          <w:rFonts w:ascii="Garamond" w:hAnsi="Garamond" w:cs="Times New Roman"/>
          <w:sz w:val="24"/>
          <w:szCs w:val="24"/>
        </w:rPr>
        <w:t>outreach</w:t>
      </w:r>
      <w:r w:rsidR="00AF3FC2" w:rsidRPr="005756A6">
        <w:rPr>
          <w:rFonts w:ascii="Garamond" w:hAnsi="Garamond" w:cs="Times New Roman"/>
          <w:sz w:val="24"/>
          <w:szCs w:val="24"/>
        </w:rPr>
        <w:t xml:space="preserve"> specifically designed to help get voters to the polls</w:t>
      </w:r>
      <w:r w:rsidR="00AC6482" w:rsidRPr="005756A6">
        <w:rPr>
          <w:rFonts w:ascii="Garamond" w:hAnsi="Garamond" w:cs="Times New Roman"/>
          <w:sz w:val="24"/>
          <w:szCs w:val="24"/>
        </w:rPr>
        <w:t xml:space="preserve">. </w:t>
      </w:r>
    </w:p>
    <w:p w14:paraId="5D703A4C" w14:textId="77777777" w:rsidR="00164C21" w:rsidRPr="005756A6" w:rsidRDefault="00164C21" w:rsidP="002D6C93">
      <w:pPr>
        <w:spacing w:after="0" w:line="480" w:lineRule="auto"/>
        <w:rPr>
          <w:rFonts w:ascii="Garamond" w:hAnsi="Garamond" w:cs="Times New Roman"/>
          <w:sz w:val="24"/>
          <w:szCs w:val="24"/>
          <w:u w:val="single"/>
        </w:rPr>
      </w:pPr>
    </w:p>
    <w:p w14:paraId="357955E5" w14:textId="0C948DF7" w:rsidR="00E66CC5" w:rsidRPr="005756A6" w:rsidRDefault="003B7DC1" w:rsidP="002D6C93">
      <w:pPr>
        <w:spacing w:after="0" w:line="480" w:lineRule="auto"/>
        <w:rPr>
          <w:rFonts w:ascii="Garamond" w:hAnsi="Garamond" w:cs="Times New Roman"/>
          <w:sz w:val="24"/>
          <w:szCs w:val="24"/>
          <w:u w:val="single"/>
        </w:rPr>
      </w:pPr>
      <w:r w:rsidRPr="005756A6">
        <w:rPr>
          <w:rFonts w:ascii="Garamond" w:hAnsi="Garamond" w:cs="Times New Roman"/>
          <w:sz w:val="24"/>
          <w:szCs w:val="24"/>
          <w:u w:val="single"/>
        </w:rPr>
        <w:t xml:space="preserve">Distinct and </w:t>
      </w:r>
      <w:r w:rsidR="00E1596F" w:rsidRPr="005756A6">
        <w:rPr>
          <w:rFonts w:ascii="Garamond" w:hAnsi="Garamond" w:cs="Times New Roman"/>
          <w:sz w:val="24"/>
          <w:szCs w:val="24"/>
          <w:u w:val="single"/>
        </w:rPr>
        <w:t>Synergistic</w:t>
      </w:r>
      <w:r w:rsidR="00164C21" w:rsidRPr="005756A6">
        <w:rPr>
          <w:rFonts w:ascii="Garamond" w:hAnsi="Garamond" w:cs="Times New Roman"/>
          <w:sz w:val="24"/>
          <w:szCs w:val="24"/>
          <w:u w:val="single"/>
        </w:rPr>
        <w:t xml:space="preserve"> </w:t>
      </w:r>
      <w:r w:rsidRPr="005756A6">
        <w:rPr>
          <w:rFonts w:ascii="Garamond" w:hAnsi="Garamond" w:cs="Times New Roman"/>
          <w:sz w:val="24"/>
          <w:szCs w:val="24"/>
          <w:u w:val="single"/>
        </w:rPr>
        <w:t xml:space="preserve">Campaign </w:t>
      </w:r>
      <w:r w:rsidR="00164C21" w:rsidRPr="005756A6">
        <w:rPr>
          <w:rFonts w:ascii="Garamond" w:hAnsi="Garamond" w:cs="Times New Roman"/>
          <w:sz w:val="24"/>
          <w:szCs w:val="24"/>
          <w:u w:val="single"/>
        </w:rPr>
        <w:t>Effects</w:t>
      </w:r>
    </w:p>
    <w:p w14:paraId="7244226E" w14:textId="725963FB" w:rsidR="00E66536" w:rsidRPr="005756A6" w:rsidRDefault="00164C21" w:rsidP="003B37D1">
      <w:pPr>
        <w:spacing w:after="0" w:line="480" w:lineRule="auto"/>
        <w:rPr>
          <w:rFonts w:ascii="Garamond" w:hAnsi="Garamond" w:cs="Times New Roman"/>
          <w:sz w:val="24"/>
          <w:szCs w:val="24"/>
        </w:rPr>
      </w:pPr>
      <w:r w:rsidRPr="005756A6">
        <w:rPr>
          <w:rFonts w:ascii="Garamond" w:hAnsi="Garamond" w:cs="Times New Roman"/>
          <w:sz w:val="24"/>
          <w:szCs w:val="24"/>
        </w:rPr>
        <w:tab/>
        <w:t xml:space="preserve">Figure </w:t>
      </w:r>
      <w:r w:rsidR="00B56097" w:rsidRPr="005756A6">
        <w:rPr>
          <w:rFonts w:ascii="Garamond" w:hAnsi="Garamond" w:cs="Times New Roman"/>
          <w:sz w:val="24"/>
          <w:szCs w:val="24"/>
        </w:rPr>
        <w:t xml:space="preserve">3 </w:t>
      </w:r>
      <w:r w:rsidR="002D631F" w:rsidRPr="005756A6">
        <w:rPr>
          <w:rFonts w:ascii="Garamond" w:hAnsi="Garamond" w:cs="Times New Roman"/>
          <w:sz w:val="24"/>
          <w:szCs w:val="24"/>
        </w:rPr>
        <w:t>plots how</w:t>
      </w:r>
      <w:r w:rsidR="00B56097" w:rsidRPr="005756A6">
        <w:rPr>
          <w:rFonts w:ascii="Garamond" w:hAnsi="Garamond" w:cs="Times New Roman"/>
          <w:sz w:val="24"/>
          <w:szCs w:val="24"/>
        </w:rPr>
        <w:t xml:space="preserve"> </w:t>
      </w:r>
      <w:r w:rsidR="002D631F" w:rsidRPr="005756A6">
        <w:rPr>
          <w:rFonts w:ascii="Garamond" w:hAnsi="Garamond" w:cs="Times New Roman"/>
          <w:sz w:val="24"/>
          <w:szCs w:val="24"/>
        </w:rPr>
        <w:t xml:space="preserve">different </w:t>
      </w:r>
      <w:r w:rsidRPr="005756A6">
        <w:rPr>
          <w:rFonts w:ascii="Garamond" w:hAnsi="Garamond" w:cs="Times New Roman"/>
          <w:sz w:val="24"/>
          <w:szCs w:val="24"/>
        </w:rPr>
        <w:t xml:space="preserve">modes </w:t>
      </w:r>
      <w:r w:rsidR="002D631F" w:rsidRPr="005756A6">
        <w:rPr>
          <w:rFonts w:ascii="Garamond" w:hAnsi="Garamond" w:cs="Times New Roman"/>
          <w:sz w:val="24"/>
          <w:szCs w:val="24"/>
        </w:rPr>
        <w:t xml:space="preserve">of electioneering affect </w:t>
      </w:r>
      <w:r w:rsidR="003B7DC1" w:rsidRPr="005756A6">
        <w:rPr>
          <w:rFonts w:ascii="Garamond" w:hAnsi="Garamond" w:cs="Times New Roman"/>
          <w:sz w:val="24"/>
          <w:szCs w:val="24"/>
        </w:rPr>
        <w:t xml:space="preserve">both </w:t>
      </w:r>
      <w:r w:rsidR="00CE7FD3" w:rsidRPr="005756A6">
        <w:rPr>
          <w:rFonts w:ascii="Garamond" w:hAnsi="Garamond" w:cs="Times New Roman"/>
          <w:sz w:val="24"/>
          <w:szCs w:val="24"/>
        </w:rPr>
        <w:t>Abbott</w:t>
      </w:r>
      <w:r w:rsidRPr="005756A6">
        <w:rPr>
          <w:rFonts w:ascii="Garamond" w:hAnsi="Garamond" w:cs="Times New Roman"/>
          <w:sz w:val="24"/>
          <w:szCs w:val="24"/>
        </w:rPr>
        <w:t xml:space="preserve"> favorability and </w:t>
      </w:r>
      <w:r w:rsidR="00CE7FD3" w:rsidRPr="005756A6">
        <w:rPr>
          <w:rFonts w:ascii="Garamond" w:hAnsi="Garamond" w:cs="Times New Roman"/>
          <w:sz w:val="24"/>
          <w:szCs w:val="24"/>
        </w:rPr>
        <w:t xml:space="preserve">Republican primary </w:t>
      </w:r>
      <w:r w:rsidRPr="005756A6">
        <w:rPr>
          <w:rFonts w:ascii="Garamond" w:hAnsi="Garamond" w:cs="Times New Roman"/>
          <w:sz w:val="24"/>
          <w:szCs w:val="24"/>
        </w:rPr>
        <w:t>turnout</w:t>
      </w:r>
      <w:r w:rsidR="00F534AB">
        <w:rPr>
          <w:rFonts w:ascii="Garamond" w:hAnsi="Garamond" w:cs="Times New Roman"/>
          <w:sz w:val="24"/>
          <w:szCs w:val="24"/>
        </w:rPr>
        <w:t xml:space="preserve"> in Texas</w:t>
      </w:r>
      <w:r w:rsidR="002D631F" w:rsidRPr="005756A6">
        <w:rPr>
          <w:rFonts w:ascii="Garamond" w:hAnsi="Garamond" w:cs="Times New Roman"/>
          <w:sz w:val="24"/>
          <w:szCs w:val="24"/>
        </w:rPr>
        <w:t xml:space="preserve">, allowing us to better comprehend their </w:t>
      </w:r>
      <w:r w:rsidR="00E66536" w:rsidRPr="005756A6">
        <w:rPr>
          <w:rFonts w:ascii="Garamond" w:hAnsi="Garamond" w:cs="Times New Roman"/>
          <w:sz w:val="24"/>
          <w:szCs w:val="24"/>
        </w:rPr>
        <w:t>overall</w:t>
      </w:r>
      <w:r w:rsidR="002D631F" w:rsidRPr="005756A6">
        <w:rPr>
          <w:rFonts w:ascii="Garamond" w:hAnsi="Garamond" w:cs="Times New Roman"/>
          <w:sz w:val="24"/>
          <w:szCs w:val="24"/>
        </w:rPr>
        <w:t xml:space="preserve"> i</w:t>
      </w:r>
      <w:r w:rsidR="002D1907" w:rsidRPr="005756A6">
        <w:rPr>
          <w:rFonts w:ascii="Garamond" w:hAnsi="Garamond" w:cs="Times New Roman"/>
          <w:sz w:val="24"/>
          <w:szCs w:val="24"/>
        </w:rPr>
        <w:t>nfluences</w:t>
      </w:r>
      <w:r w:rsidR="002D631F" w:rsidRPr="005756A6">
        <w:rPr>
          <w:rFonts w:ascii="Garamond" w:hAnsi="Garamond" w:cs="Times New Roman"/>
          <w:sz w:val="24"/>
          <w:szCs w:val="24"/>
        </w:rPr>
        <w:t>.</w:t>
      </w:r>
      <w:r w:rsidRPr="005756A6">
        <w:rPr>
          <w:rFonts w:ascii="Garamond" w:hAnsi="Garamond" w:cs="Times New Roman"/>
          <w:sz w:val="24"/>
          <w:szCs w:val="24"/>
        </w:rPr>
        <w:t xml:space="preserve"> </w:t>
      </w:r>
      <w:r w:rsidR="002D631F" w:rsidRPr="005756A6">
        <w:rPr>
          <w:rFonts w:ascii="Garamond" w:hAnsi="Garamond" w:cs="Times New Roman"/>
          <w:sz w:val="24"/>
          <w:szCs w:val="24"/>
        </w:rPr>
        <w:t xml:space="preserve">From this perspective, </w:t>
      </w:r>
      <w:r w:rsidRPr="005756A6">
        <w:rPr>
          <w:rFonts w:ascii="Garamond" w:hAnsi="Garamond" w:cs="Times New Roman"/>
          <w:sz w:val="24"/>
          <w:szCs w:val="24"/>
        </w:rPr>
        <w:t xml:space="preserve">targeted broadcast television advertising stands out as </w:t>
      </w:r>
      <w:r w:rsidR="002D631F" w:rsidRPr="005756A6">
        <w:rPr>
          <w:rFonts w:ascii="Garamond" w:hAnsi="Garamond" w:cs="Times New Roman"/>
          <w:sz w:val="24"/>
          <w:szCs w:val="24"/>
        </w:rPr>
        <w:t>highly effective on both dimensions</w:t>
      </w:r>
      <w:r w:rsidRPr="005756A6">
        <w:rPr>
          <w:rFonts w:ascii="Garamond" w:hAnsi="Garamond" w:cs="Times New Roman"/>
          <w:sz w:val="24"/>
          <w:szCs w:val="24"/>
        </w:rPr>
        <w:t xml:space="preserve">. Traditional cable </w:t>
      </w:r>
      <w:r w:rsidR="00F534AB">
        <w:rPr>
          <w:rFonts w:ascii="Garamond" w:hAnsi="Garamond" w:cs="Times New Roman"/>
          <w:sz w:val="24"/>
          <w:szCs w:val="24"/>
        </w:rPr>
        <w:t>TV</w:t>
      </w:r>
      <w:r w:rsidRPr="005756A6">
        <w:rPr>
          <w:rFonts w:ascii="Garamond" w:hAnsi="Garamond" w:cs="Times New Roman"/>
          <w:sz w:val="24"/>
          <w:szCs w:val="24"/>
        </w:rPr>
        <w:t xml:space="preserve"> </w:t>
      </w:r>
      <w:r w:rsidR="00C028C3" w:rsidRPr="005756A6">
        <w:rPr>
          <w:rFonts w:ascii="Garamond" w:hAnsi="Garamond" w:cs="Times New Roman"/>
          <w:sz w:val="24"/>
          <w:szCs w:val="24"/>
        </w:rPr>
        <w:t xml:space="preserve">and radio </w:t>
      </w:r>
      <w:r w:rsidRPr="005756A6">
        <w:rPr>
          <w:rFonts w:ascii="Garamond" w:hAnsi="Garamond" w:cs="Times New Roman"/>
          <w:sz w:val="24"/>
          <w:szCs w:val="24"/>
        </w:rPr>
        <w:t>advertising ha</w:t>
      </w:r>
      <w:r w:rsidR="00C028C3" w:rsidRPr="005756A6">
        <w:rPr>
          <w:rFonts w:ascii="Garamond" w:hAnsi="Garamond" w:cs="Times New Roman"/>
          <w:sz w:val="24"/>
          <w:szCs w:val="24"/>
        </w:rPr>
        <w:t>ve</w:t>
      </w:r>
      <w:r w:rsidRPr="005756A6">
        <w:rPr>
          <w:rFonts w:ascii="Garamond" w:hAnsi="Garamond" w:cs="Times New Roman"/>
          <w:sz w:val="24"/>
          <w:szCs w:val="24"/>
        </w:rPr>
        <w:t xml:space="preserve"> smaller, yet still notable, positive influence</w:t>
      </w:r>
      <w:r w:rsidR="00C028C3" w:rsidRPr="005756A6">
        <w:rPr>
          <w:rFonts w:ascii="Garamond" w:hAnsi="Garamond" w:cs="Times New Roman"/>
          <w:sz w:val="24"/>
          <w:szCs w:val="24"/>
        </w:rPr>
        <w:t>s</w:t>
      </w:r>
      <w:r w:rsidRPr="005756A6">
        <w:rPr>
          <w:rFonts w:ascii="Garamond" w:hAnsi="Garamond" w:cs="Times New Roman"/>
          <w:sz w:val="24"/>
          <w:szCs w:val="24"/>
        </w:rPr>
        <w:t xml:space="preserve"> on both as well. Traditional broadcast </w:t>
      </w:r>
      <w:r w:rsidR="00F534AB">
        <w:rPr>
          <w:rFonts w:ascii="Garamond" w:hAnsi="Garamond" w:cs="Times New Roman"/>
          <w:sz w:val="24"/>
          <w:szCs w:val="24"/>
        </w:rPr>
        <w:t>TV</w:t>
      </w:r>
      <w:r w:rsidRPr="005756A6">
        <w:rPr>
          <w:rFonts w:ascii="Garamond" w:hAnsi="Garamond" w:cs="Times New Roman"/>
          <w:sz w:val="24"/>
          <w:szCs w:val="24"/>
        </w:rPr>
        <w:t xml:space="preserve">, on the other hand, </w:t>
      </w:r>
      <w:r w:rsidR="002D631F" w:rsidRPr="005756A6">
        <w:rPr>
          <w:rFonts w:ascii="Garamond" w:hAnsi="Garamond" w:cs="Times New Roman"/>
          <w:sz w:val="24"/>
          <w:szCs w:val="24"/>
        </w:rPr>
        <w:t xml:space="preserve">boosts </w:t>
      </w:r>
      <w:r w:rsidRPr="005756A6">
        <w:rPr>
          <w:rFonts w:ascii="Garamond" w:hAnsi="Garamond" w:cs="Times New Roman"/>
          <w:sz w:val="24"/>
          <w:szCs w:val="24"/>
        </w:rPr>
        <w:t xml:space="preserve">turnout but </w:t>
      </w:r>
      <w:r w:rsidR="002D631F" w:rsidRPr="005756A6">
        <w:rPr>
          <w:rFonts w:ascii="Garamond" w:hAnsi="Garamond" w:cs="Times New Roman"/>
          <w:sz w:val="24"/>
          <w:szCs w:val="24"/>
        </w:rPr>
        <w:t xml:space="preserve">does little </w:t>
      </w:r>
      <w:r w:rsidR="00CE7FD3" w:rsidRPr="005756A6">
        <w:rPr>
          <w:rFonts w:ascii="Garamond" w:hAnsi="Garamond" w:cs="Times New Roman"/>
          <w:sz w:val="24"/>
          <w:szCs w:val="24"/>
        </w:rPr>
        <w:t xml:space="preserve">for </w:t>
      </w:r>
      <w:r w:rsidRPr="005756A6">
        <w:rPr>
          <w:rFonts w:ascii="Garamond" w:hAnsi="Garamond" w:cs="Times New Roman"/>
          <w:sz w:val="24"/>
          <w:szCs w:val="24"/>
        </w:rPr>
        <w:t>favorability. Other modes cluster closer to the origin point of the graph, with Internet advertising and direct mail scoring positive, if minor, improvements along both relevant dimensions.</w:t>
      </w:r>
    </w:p>
    <w:p w14:paraId="6BDC0E38" w14:textId="0B892D20" w:rsidR="003B37D1" w:rsidRPr="005756A6" w:rsidRDefault="003B37D1" w:rsidP="00E66536">
      <w:pPr>
        <w:spacing w:after="0" w:line="480" w:lineRule="auto"/>
        <w:ind w:firstLine="720"/>
        <w:rPr>
          <w:rFonts w:ascii="Garamond" w:hAnsi="Garamond" w:cs="Times New Roman"/>
          <w:sz w:val="24"/>
          <w:szCs w:val="24"/>
        </w:rPr>
      </w:pPr>
      <w:r w:rsidRPr="005756A6">
        <w:rPr>
          <w:rFonts w:ascii="Garamond" w:hAnsi="Garamond" w:cs="Times New Roman"/>
          <w:sz w:val="24"/>
          <w:szCs w:val="24"/>
        </w:rPr>
        <w:t xml:space="preserve">These findings are </w:t>
      </w:r>
      <w:r w:rsidR="00E66536" w:rsidRPr="005756A6">
        <w:rPr>
          <w:rFonts w:ascii="Garamond" w:hAnsi="Garamond" w:cs="Times New Roman"/>
          <w:sz w:val="24"/>
          <w:szCs w:val="24"/>
        </w:rPr>
        <w:t>instructive</w:t>
      </w:r>
      <w:r w:rsidR="00D826D8">
        <w:rPr>
          <w:rFonts w:ascii="Garamond" w:hAnsi="Garamond" w:cs="Times New Roman"/>
          <w:sz w:val="24"/>
          <w:szCs w:val="24"/>
        </w:rPr>
        <w:t xml:space="preserve"> from a practitioner’s perspective</w:t>
      </w:r>
      <w:r w:rsidRPr="005756A6">
        <w:rPr>
          <w:rFonts w:ascii="Garamond" w:hAnsi="Garamond" w:cs="Times New Roman"/>
          <w:sz w:val="24"/>
          <w:szCs w:val="24"/>
        </w:rPr>
        <w:t>. Figure 3</w:t>
      </w:r>
      <w:r w:rsidR="00E66536" w:rsidRPr="005756A6">
        <w:rPr>
          <w:rFonts w:ascii="Garamond" w:hAnsi="Garamond" w:cs="Times New Roman"/>
          <w:sz w:val="24"/>
          <w:szCs w:val="24"/>
        </w:rPr>
        <w:t xml:space="preserve"> suggests </w:t>
      </w:r>
      <w:r w:rsidRPr="005756A6">
        <w:rPr>
          <w:rFonts w:ascii="Garamond" w:hAnsi="Garamond" w:cs="Times New Roman"/>
          <w:sz w:val="24"/>
          <w:szCs w:val="24"/>
        </w:rPr>
        <w:t>a different mix of outreach over the course of the campaign</w:t>
      </w:r>
      <w:r w:rsidR="005B6B6E" w:rsidRPr="005756A6">
        <w:rPr>
          <w:rFonts w:ascii="Garamond" w:hAnsi="Garamond" w:cs="Times New Roman"/>
          <w:sz w:val="24"/>
          <w:szCs w:val="24"/>
        </w:rPr>
        <w:t>: a</w:t>
      </w:r>
      <w:r w:rsidRPr="005756A6">
        <w:rPr>
          <w:rFonts w:ascii="Garamond" w:hAnsi="Garamond" w:cs="Times New Roman"/>
          <w:sz w:val="24"/>
          <w:szCs w:val="24"/>
        </w:rPr>
        <w:t xml:space="preserve">ctivities that move favorability numbers should be front-loaded, while those that pump up turnout should be held in reserve </w:t>
      </w:r>
      <w:r w:rsidR="005B6B6E" w:rsidRPr="005756A6">
        <w:rPr>
          <w:rFonts w:ascii="Garamond" w:hAnsi="Garamond" w:cs="Times New Roman"/>
          <w:sz w:val="24"/>
          <w:szCs w:val="24"/>
        </w:rPr>
        <w:t xml:space="preserve">until </w:t>
      </w:r>
      <w:r w:rsidRPr="005756A6">
        <w:rPr>
          <w:rFonts w:ascii="Garamond" w:hAnsi="Garamond" w:cs="Times New Roman"/>
          <w:sz w:val="24"/>
          <w:szCs w:val="24"/>
        </w:rPr>
        <w:t xml:space="preserve">the last days of the race. </w:t>
      </w:r>
      <w:r w:rsidR="005B6B6E" w:rsidRPr="005756A6">
        <w:rPr>
          <w:rFonts w:ascii="Garamond" w:hAnsi="Garamond" w:cs="Times New Roman"/>
          <w:sz w:val="24"/>
          <w:szCs w:val="24"/>
        </w:rPr>
        <w:t xml:space="preserve">More specifically, </w:t>
      </w:r>
      <w:r w:rsidRPr="005756A6">
        <w:rPr>
          <w:rFonts w:ascii="Garamond" w:hAnsi="Garamond" w:cs="Times New Roman"/>
          <w:sz w:val="24"/>
          <w:szCs w:val="24"/>
        </w:rPr>
        <w:t>a campaign might profitably focus on radio advertising early in the contest and then switch to traditional broadcast TV late in the campaign.</w:t>
      </w:r>
    </w:p>
    <w:p w14:paraId="5996401A" w14:textId="36058E4C" w:rsidR="00066271" w:rsidRPr="005756A6" w:rsidRDefault="00B56097" w:rsidP="00935CE6">
      <w:pPr>
        <w:spacing w:after="0" w:line="480" w:lineRule="auto"/>
        <w:jc w:val="center"/>
        <w:rPr>
          <w:rFonts w:ascii="Garamond" w:hAnsi="Garamond" w:cs="Times New Roman"/>
          <w:sz w:val="24"/>
          <w:szCs w:val="24"/>
        </w:rPr>
      </w:pPr>
      <w:r w:rsidRPr="005756A6">
        <w:rPr>
          <w:rFonts w:ascii="Garamond" w:hAnsi="Garamond" w:cs="Times New Roman"/>
          <w:sz w:val="24"/>
          <w:szCs w:val="24"/>
        </w:rPr>
        <w:t>[Figure 3 about here]</w:t>
      </w:r>
    </w:p>
    <w:p w14:paraId="7A8D3029" w14:textId="1978E93A" w:rsidR="00AC158F" w:rsidRPr="005756A6" w:rsidRDefault="00164C21" w:rsidP="002D1907">
      <w:pPr>
        <w:spacing w:after="0" w:line="480" w:lineRule="auto"/>
        <w:rPr>
          <w:rFonts w:ascii="Garamond" w:hAnsi="Garamond" w:cs="Times New Roman"/>
          <w:sz w:val="24"/>
          <w:szCs w:val="24"/>
        </w:rPr>
      </w:pPr>
      <w:r w:rsidRPr="005756A6">
        <w:rPr>
          <w:rFonts w:ascii="Garamond" w:hAnsi="Garamond" w:cs="Times New Roman"/>
          <w:sz w:val="24"/>
          <w:szCs w:val="24"/>
        </w:rPr>
        <w:tab/>
        <w:t xml:space="preserve">Figure </w:t>
      </w:r>
      <w:r w:rsidR="00B56097" w:rsidRPr="005756A6">
        <w:rPr>
          <w:rFonts w:ascii="Garamond" w:hAnsi="Garamond" w:cs="Times New Roman"/>
          <w:sz w:val="24"/>
          <w:szCs w:val="24"/>
        </w:rPr>
        <w:t>4</w:t>
      </w:r>
      <w:r w:rsidRPr="005756A6">
        <w:rPr>
          <w:rFonts w:ascii="Garamond" w:hAnsi="Garamond" w:cs="Times New Roman"/>
          <w:sz w:val="24"/>
          <w:szCs w:val="24"/>
        </w:rPr>
        <w:t xml:space="preserve"> </w:t>
      </w:r>
      <w:r w:rsidR="00DB5091" w:rsidRPr="005756A6">
        <w:rPr>
          <w:rFonts w:ascii="Garamond" w:hAnsi="Garamond" w:cs="Times New Roman"/>
          <w:sz w:val="24"/>
          <w:szCs w:val="24"/>
        </w:rPr>
        <w:t xml:space="preserve">shows the combined </w:t>
      </w:r>
      <w:r w:rsidR="00152803" w:rsidRPr="005756A6">
        <w:rPr>
          <w:rFonts w:ascii="Garamond" w:hAnsi="Garamond" w:cs="Times New Roman"/>
          <w:sz w:val="24"/>
          <w:szCs w:val="24"/>
        </w:rPr>
        <w:t xml:space="preserve">effects of </w:t>
      </w:r>
      <w:r w:rsidR="001F06A4" w:rsidRPr="005756A6">
        <w:rPr>
          <w:rFonts w:ascii="Garamond" w:hAnsi="Garamond" w:cs="Times New Roman"/>
          <w:sz w:val="24"/>
          <w:szCs w:val="24"/>
        </w:rPr>
        <w:t xml:space="preserve">(1) </w:t>
      </w:r>
      <w:r w:rsidR="00152803" w:rsidRPr="005756A6">
        <w:rPr>
          <w:rFonts w:ascii="Garamond" w:hAnsi="Garamond" w:cs="Times New Roman"/>
          <w:sz w:val="24"/>
          <w:szCs w:val="24"/>
        </w:rPr>
        <w:t>different modes of broadcast campaigning</w:t>
      </w:r>
      <w:r w:rsidR="002D1907" w:rsidRPr="005756A6">
        <w:rPr>
          <w:rFonts w:ascii="Garamond" w:hAnsi="Garamond" w:cs="Times New Roman"/>
          <w:sz w:val="24"/>
          <w:szCs w:val="24"/>
        </w:rPr>
        <w:t>,</w:t>
      </w:r>
      <w:r w:rsidR="00152803" w:rsidRPr="005756A6">
        <w:rPr>
          <w:rFonts w:ascii="Garamond" w:hAnsi="Garamond" w:cs="Times New Roman"/>
          <w:sz w:val="24"/>
          <w:szCs w:val="24"/>
        </w:rPr>
        <w:t xml:space="preserve"> and </w:t>
      </w:r>
      <w:r w:rsidR="001F06A4" w:rsidRPr="005756A6">
        <w:rPr>
          <w:rFonts w:ascii="Garamond" w:hAnsi="Garamond" w:cs="Times New Roman"/>
          <w:sz w:val="24"/>
          <w:szCs w:val="24"/>
        </w:rPr>
        <w:t xml:space="preserve">(2) </w:t>
      </w:r>
      <w:r w:rsidR="00152803" w:rsidRPr="005756A6">
        <w:rPr>
          <w:rFonts w:ascii="Garamond" w:hAnsi="Garamond" w:cs="Times New Roman"/>
          <w:sz w:val="24"/>
          <w:szCs w:val="24"/>
        </w:rPr>
        <w:t xml:space="preserve">different modes of </w:t>
      </w:r>
      <w:r w:rsidR="00E70462" w:rsidRPr="005756A6">
        <w:rPr>
          <w:rFonts w:ascii="Garamond" w:hAnsi="Garamond" w:cs="Times New Roman"/>
          <w:sz w:val="24"/>
          <w:szCs w:val="24"/>
        </w:rPr>
        <w:t>o</w:t>
      </w:r>
      <w:r w:rsidR="00152803" w:rsidRPr="005756A6">
        <w:rPr>
          <w:rFonts w:ascii="Garamond" w:hAnsi="Garamond" w:cs="Times New Roman"/>
          <w:sz w:val="24"/>
          <w:szCs w:val="24"/>
        </w:rPr>
        <w:t xml:space="preserve">nline campaigning. </w:t>
      </w:r>
      <w:r w:rsidR="002D1907" w:rsidRPr="005756A6">
        <w:rPr>
          <w:rFonts w:ascii="Garamond" w:hAnsi="Garamond" w:cs="Times New Roman"/>
          <w:sz w:val="24"/>
          <w:szCs w:val="24"/>
        </w:rPr>
        <w:t xml:space="preserve">This helps us </w:t>
      </w:r>
      <w:r w:rsidR="00152803" w:rsidRPr="005756A6">
        <w:rPr>
          <w:rFonts w:ascii="Garamond" w:hAnsi="Garamond" w:cs="Times New Roman"/>
          <w:sz w:val="24"/>
          <w:szCs w:val="24"/>
        </w:rPr>
        <w:t xml:space="preserve">consider the claim of campaign professionals that distinct forms of outreach are </w:t>
      </w:r>
      <w:r w:rsidR="005E50DE" w:rsidRPr="005756A6">
        <w:rPr>
          <w:rFonts w:ascii="Garamond" w:hAnsi="Garamond" w:cs="Times New Roman"/>
          <w:sz w:val="24"/>
          <w:szCs w:val="24"/>
        </w:rPr>
        <w:t>synergistic</w:t>
      </w:r>
      <w:r w:rsidR="00152803" w:rsidRPr="005756A6">
        <w:rPr>
          <w:rFonts w:ascii="Garamond" w:hAnsi="Garamond" w:cs="Times New Roman"/>
          <w:sz w:val="24"/>
          <w:szCs w:val="24"/>
        </w:rPr>
        <w:t xml:space="preserve">. </w:t>
      </w:r>
      <w:r w:rsidR="002D1907" w:rsidRPr="005756A6">
        <w:rPr>
          <w:rFonts w:ascii="Garamond" w:hAnsi="Garamond" w:cs="Times New Roman"/>
          <w:sz w:val="24"/>
          <w:szCs w:val="24"/>
        </w:rPr>
        <w:t xml:space="preserve">The data show </w:t>
      </w:r>
      <w:r w:rsidR="00152803" w:rsidRPr="005756A6">
        <w:rPr>
          <w:rFonts w:ascii="Garamond" w:hAnsi="Garamond" w:cs="Times New Roman"/>
          <w:sz w:val="24"/>
          <w:szCs w:val="24"/>
        </w:rPr>
        <w:t xml:space="preserve">that </w:t>
      </w:r>
      <w:r w:rsidR="00B27785" w:rsidRPr="005756A6">
        <w:rPr>
          <w:rFonts w:ascii="Garamond" w:hAnsi="Garamond" w:cs="Times New Roman"/>
          <w:sz w:val="24"/>
          <w:szCs w:val="24"/>
        </w:rPr>
        <w:t>broadcast + cable + radio ha</w:t>
      </w:r>
      <w:r w:rsidR="00F70178" w:rsidRPr="005756A6">
        <w:rPr>
          <w:rFonts w:ascii="Garamond" w:hAnsi="Garamond" w:cs="Times New Roman"/>
          <w:sz w:val="24"/>
          <w:szCs w:val="24"/>
        </w:rPr>
        <w:t>s</w:t>
      </w:r>
      <w:r w:rsidR="00B27785" w:rsidRPr="005756A6">
        <w:rPr>
          <w:rFonts w:ascii="Garamond" w:hAnsi="Garamond" w:cs="Times New Roman"/>
          <w:sz w:val="24"/>
          <w:szCs w:val="24"/>
        </w:rPr>
        <w:t xml:space="preserve"> a substantial effect on </w:t>
      </w:r>
      <w:r w:rsidR="00CE7FD3" w:rsidRPr="005756A6">
        <w:rPr>
          <w:rFonts w:ascii="Garamond" w:hAnsi="Garamond" w:cs="Times New Roman"/>
          <w:sz w:val="24"/>
          <w:szCs w:val="24"/>
        </w:rPr>
        <w:t xml:space="preserve">Abbott </w:t>
      </w:r>
      <w:r w:rsidR="00B27785" w:rsidRPr="005756A6">
        <w:rPr>
          <w:rFonts w:ascii="Garamond" w:hAnsi="Garamond" w:cs="Times New Roman"/>
          <w:sz w:val="24"/>
          <w:szCs w:val="24"/>
        </w:rPr>
        <w:t xml:space="preserve">favorability and a solid positive effect on </w:t>
      </w:r>
      <w:r w:rsidR="000370BF" w:rsidRPr="005756A6">
        <w:rPr>
          <w:rFonts w:ascii="Garamond" w:hAnsi="Garamond" w:cs="Times New Roman"/>
          <w:sz w:val="24"/>
          <w:szCs w:val="24"/>
        </w:rPr>
        <w:t xml:space="preserve">GOP primary </w:t>
      </w:r>
      <w:r w:rsidR="00744BCB" w:rsidRPr="005756A6">
        <w:rPr>
          <w:rFonts w:ascii="Garamond" w:hAnsi="Garamond" w:cs="Times New Roman"/>
          <w:sz w:val="24"/>
          <w:szCs w:val="24"/>
        </w:rPr>
        <w:lastRenderedPageBreak/>
        <w:t>turnout</w:t>
      </w:r>
      <w:r w:rsidR="00B27785" w:rsidRPr="005756A6">
        <w:rPr>
          <w:rFonts w:ascii="Garamond" w:hAnsi="Garamond" w:cs="Times New Roman"/>
          <w:sz w:val="24"/>
          <w:szCs w:val="24"/>
        </w:rPr>
        <w:t xml:space="preserve">. Without radio, broadcast + cable </w:t>
      </w:r>
      <w:r w:rsidR="00D85C71" w:rsidRPr="005756A6">
        <w:rPr>
          <w:rFonts w:ascii="Garamond" w:hAnsi="Garamond" w:cs="Times New Roman"/>
          <w:sz w:val="24"/>
          <w:szCs w:val="24"/>
        </w:rPr>
        <w:t>produce</w:t>
      </w:r>
      <w:r w:rsidR="001918FF" w:rsidRPr="005756A6">
        <w:rPr>
          <w:rFonts w:ascii="Garamond" w:hAnsi="Garamond" w:cs="Times New Roman"/>
          <w:sz w:val="24"/>
          <w:szCs w:val="24"/>
        </w:rPr>
        <w:t>s only a modest favorability effect, and virtually no</w:t>
      </w:r>
      <w:r w:rsidR="00D85C71" w:rsidRPr="005756A6">
        <w:rPr>
          <w:rFonts w:ascii="Garamond" w:hAnsi="Garamond" w:cs="Times New Roman"/>
          <w:sz w:val="24"/>
          <w:szCs w:val="24"/>
        </w:rPr>
        <w:t xml:space="preserve"> turnout effect. Broadcast + radio, meanwhile, does little</w:t>
      </w:r>
      <w:r w:rsidR="001918FF" w:rsidRPr="005756A6">
        <w:rPr>
          <w:rFonts w:ascii="Garamond" w:hAnsi="Garamond" w:cs="Times New Roman"/>
          <w:sz w:val="24"/>
          <w:szCs w:val="24"/>
        </w:rPr>
        <w:t xml:space="preserve"> for favorability</w:t>
      </w:r>
      <w:r w:rsidR="00D85C71" w:rsidRPr="005756A6">
        <w:rPr>
          <w:rFonts w:ascii="Garamond" w:hAnsi="Garamond" w:cs="Times New Roman"/>
          <w:sz w:val="24"/>
          <w:szCs w:val="24"/>
        </w:rPr>
        <w:t xml:space="preserve"> </w:t>
      </w:r>
      <w:r w:rsidR="001918FF" w:rsidRPr="005756A6">
        <w:rPr>
          <w:rFonts w:ascii="Garamond" w:hAnsi="Garamond" w:cs="Times New Roman"/>
          <w:sz w:val="24"/>
          <w:szCs w:val="24"/>
        </w:rPr>
        <w:t>but produces a sizable increase in</w:t>
      </w:r>
      <w:r w:rsidR="00D85C71" w:rsidRPr="005756A6">
        <w:rPr>
          <w:rFonts w:ascii="Garamond" w:hAnsi="Garamond" w:cs="Times New Roman"/>
          <w:sz w:val="24"/>
          <w:szCs w:val="24"/>
        </w:rPr>
        <w:t xml:space="preserve"> turnout. </w:t>
      </w:r>
      <w:r w:rsidR="00AC158F" w:rsidRPr="005756A6">
        <w:rPr>
          <w:rFonts w:ascii="Garamond" w:hAnsi="Garamond" w:cs="Times New Roman"/>
          <w:sz w:val="24"/>
          <w:szCs w:val="24"/>
        </w:rPr>
        <w:t xml:space="preserve">Interestingly, the combined effect of cable + radio </w:t>
      </w:r>
      <w:r w:rsidR="002D1907" w:rsidRPr="005756A6">
        <w:rPr>
          <w:rFonts w:ascii="Garamond" w:hAnsi="Garamond" w:cs="Times New Roman"/>
          <w:sz w:val="24"/>
          <w:szCs w:val="24"/>
        </w:rPr>
        <w:t xml:space="preserve">does nothing to boost either </w:t>
      </w:r>
      <w:r w:rsidR="00AC158F" w:rsidRPr="005756A6">
        <w:rPr>
          <w:rFonts w:ascii="Garamond" w:hAnsi="Garamond" w:cs="Times New Roman"/>
          <w:sz w:val="24"/>
          <w:szCs w:val="24"/>
        </w:rPr>
        <w:t xml:space="preserve">favorability </w:t>
      </w:r>
      <w:r w:rsidR="002D1907" w:rsidRPr="005756A6">
        <w:rPr>
          <w:rFonts w:ascii="Garamond" w:hAnsi="Garamond" w:cs="Times New Roman"/>
          <w:sz w:val="24"/>
          <w:szCs w:val="24"/>
        </w:rPr>
        <w:t xml:space="preserve">or </w:t>
      </w:r>
      <w:r w:rsidR="00AC158F" w:rsidRPr="005756A6">
        <w:rPr>
          <w:rFonts w:ascii="Garamond" w:hAnsi="Garamond" w:cs="Times New Roman"/>
          <w:sz w:val="24"/>
          <w:szCs w:val="24"/>
        </w:rPr>
        <w:t>turnout</w:t>
      </w:r>
      <w:r w:rsidR="002D1907" w:rsidRPr="005756A6">
        <w:rPr>
          <w:rFonts w:ascii="Garamond" w:hAnsi="Garamond" w:cs="Times New Roman"/>
          <w:sz w:val="24"/>
          <w:szCs w:val="24"/>
        </w:rPr>
        <w:t>.</w:t>
      </w:r>
      <w:r w:rsidR="00B20BBE" w:rsidRPr="005756A6">
        <w:rPr>
          <w:rFonts w:ascii="Garamond" w:hAnsi="Garamond" w:cs="Times New Roman"/>
          <w:sz w:val="24"/>
          <w:szCs w:val="24"/>
        </w:rPr>
        <w:t xml:space="preserve"> </w:t>
      </w:r>
      <w:r w:rsidR="002D1907" w:rsidRPr="005756A6">
        <w:rPr>
          <w:rFonts w:ascii="Garamond" w:hAnsi="Garamond" w:cs="Times New Roman"/>
          <w:sz w:val="24"/>
          <w:szCs w:val="24"/>
        </w:rPr>
        <w:t xml:space="preserve">Despite this, </w:t>
      </w:r>
      <w:r w:rsidR="00F70178" w:rsidRPr="005756A6">
        <w:rPr>
          <w:rFonts w:ascii="Garamond" w:hAnsi="Garamond" w:cs="Times New Roman"/>
          <w:sz w:val="24"/>
          <w:szCs w:val="24"/>
        </w:rPr>
        <w:t xml:space="preserve">there is evidence here supporting the claim that the combined effect of broadcast </w:t>
      </w:r>
      <w:r w:rsidR="00AC158F" w:rsidRPr="005756A6">
        <w:rPr>
          <w:rFonts w:ascii="Garamond" w:hAnsi="Garamond" w:cs="Times New Roman"/>
          <w:sz w:val="24"/>
          <w:szCs w:val="24"/>
        </w:rPr>
        <w:t>matters.</w:t>
      </w:r>
    </w:p>
    <w:p w14:paraId="2FDBCA54" w14:textId="3E682859" w:rsidR="00066271" w:rsidRPr="005756A6" w:rsidRDefault="00B56097" w:rsidP="00341415">
      <w:pPr>
        <w:spacing w:after="0" w:line="480" w:lineRule="auto"/>
        <w:jc w:val="center"/>
        <w:rPr>
          <w:rFonts w:ascii="Garamond" w:hAnsi="Garamond" w:cs="Times New Roman"/>
          <w:sz w:val="24"/>
          <w:szCs w:val="24"/>
        </w:rPr>
      </w:pPr>
      <w:r w:rsidRPr="005756A6">
        <w:rPr>
          <w:rFonts w:ascii="Garamond" w:hAnsi="Garamond" w:cs="Times New Roman"/>
          <w:sz w:val="24"/>
          <w:szCs w:val="24"/>
        </w:rPr>
        <w:t>[Figure 4 about here]</w:t>
      </w:r>
    </w:p>
    <w:p w14:paraId="0EC4E6B6" w14:textId="780C739A" w:rsidR="00B7684A" w:rsidRPr="005756A6" w:rsidRDefault="006433E3" w:rsidP="006433E3">
      <w:pPr>
        <w:spacing w:after="0" w:line="480" w:lineRule="auto"/>
        <w:ind w:firstLine="720"/>
        <w:rPr>
          <w:rFonts w:ascii="Garamond" w:hAnsi="Garamond" w:cs="Times New Roman"/>
          <w:sz w:val="24"/>
          <w:szCs w:val="24"/>
        </w:rPr>
      </w:pPr>
      <w:r w:rsidRPr="005756A6">
        <w:rPr>
          <w:rFonts w:ascii="Garamond" w:hAnsi="Garamond" w:cs="Times New Roman"/>
          <w:sz w:val="24"/>
          <w:szCs w:val="24"/>
        </w:rPr>
        <w:t xml:space="preserve">The </w:t>
      </w:r>
      <w:r w:rsidR="002D1907" w:rsidRPr="005756A6">
        <w:rPr>
          <w:rFonts w:ascii="Garamond" w:hAnsi="Garamond" w:cs="Times New Roman"/>
          <w:sz w:val="24"/>
          <w:szCs w:val="24"/>
        </w:rPr>
        <w:t xml:space="preserve">evidence also supports </w:t>
      </w:r>
      <w:r w:rsidR="00B20BBE" w:rsidRPr="005756A6">
        <w:rPr>
          <w:rFonts w:ascii="Garamond" w:hAnsi="Garamond" w:cs="Times New Roman"/>
          <w:sz w:val="24"/>
          <w:szCs w:val="24"/>
        </w:rPr>
        <w:t xml:space="preserve">the </w:t>
      </w:r>
      <w:r w:rsidR="002D1907" w:rsidRPr="005756A6">
        <w:rPr>
          <w:rFonts w:ascii="Garamond" w:hAnsi="Garamond" w:cs="Times New Roman"/>
          <w:sz w:val="24"/>
          <w:szCs w:val="24"/>
        </w:rPr>
        <w:t xml:space="preserve">notion that </w:t>
      </w:r>
      <w:r w:rsidR="00B20BBE" w:rsidRPr="005756A6">
        <w:rPr>
          <w:rFonts w:ascii="Garamond" w:hAnsi="Garamond" w:cs="Times New Roman"/>
          <w:sz w:val="24"/>
          <w:szCs w:val="24"/>
        </w:rPr>
        <w:t xml:space="preserve">the </w:t>
      </w:r>
      <w:r w:rsidR="00066271" w:rsidRPr="005756A6">
        <w:rPr>
          <w:rFonts w:ascii="Garamond" w:hAnsi="Garamond" w:cs="Times New Roman"/>
          <w:sz w:val="24"/>
          <w:szCs w:val="24"/>
        </w:rPr>
        <w:t xml:space="preserve">synergistic </w:t>
      </w:r>
      <w:r w:rsidR="00B20BBE" w:rsidRPr="005756A6">
        <w:rPr>
          <w:rFonts w:ascii="Garamond" w:hAnsi="Garamond" w:cs="Times New Roman"/>
          <w:sz w:val="24"/>
          <w:szCs w:val="24"/>
        </w:rPr>
        <w:t>effect</w:t>
      </w:r>
      <w:r w:rsidR="00937C95" w:rsidRPr="005756A6">
        <w:rPr>
          <w:rFonts w:ascii="Garamond" w:hAnsi="Garamond" w:cs="Times New Roman"/>
          <w:sz w:val="24"/>
          <w:szCs w:val="24"/>
        </w:rPr>
        <w:t>s</w:t>
      </w:r>
      <w:r w:rsidR="00B20BBE" w:rsidRPr="005756A6">
        <w:rPr>
          <w:rFonts w:ascii="Garamond" w:hAnsi="Garamond" w:cs="Times New Roman"/>
          <w:sz w:val="24"/>
          <w:szCs w:val="24"/>
        </w:rPr>
        <w:t xml:space="preserve"> of </w:t>
      </w:r>
      <w:r w:rsidR="002D1907" w:rsidRPr="005756A6">
        <w:rPr>
          <w:rFonts w:ascii="Garamond" w:hAnsi="Garamond" w:cs="Times New Roman"/>
          <w:sz w:val="24"/>
          <w:szCs w:val="24"/>
        </w:rPr>
        <w:t>digital outreach need to be taken into account</w:t>
      </w:r>
      <w:r w:rsidR="00B20BBE" w:rsidRPr="005756A6">
        <w:rPr>
          <w:rFonts w:ascii="Garamond" w:hAnsi="Garamond" w:cs="Times New Roman"/>
          <w:sz w:val="24"/>
          <w:szCs w:val="24"/>
        </w:rPr>
        <w:t xml:space="preserve">. </w:t>
      </w:r>
      <w:r w:rsidR="00B36785" w:rsidRPr="005756A6">
        <w:rPr>
          <w:rFonts w:ascii="Garamond" w:hAnsi="Garamond" w:cs="Times New Roman"/>
          <w:sz w:val="24"/>
          <w:szCs w:val="24"/>
        </w:rPr>
        <w:t>Initially</w:t>
      </w:r>
      <w:r w:rsidR="00937C95" w:rsidRPr="005756A6">
        <w:rPr>
          <w:rFonts w:ascii="Garamond" w:hAnsi="Garamond" w:cs="Times New Roman"/>
          <w:sz w:val="24"/>
          <w:szCs w:val="24"/>
        </w:rPr>
        <w:t xml:space="preserve">, we see that </w:t>
      </w:r>
      <w:r w:rsidR="00341411" w:rsidRPr="005756A6">
        <w:rPr>
          <w:rFonts w:ascii="Garamond" w:hAnsi="Garamond" w:cs="Times New Roman"/>
          <w:sz w:val="24"/>
          <w:szCs w:val="24"/>
        </w:rPr>
        <w:t xml:space="preserve">Internet advertising has a greater impact on turnout in combination with other forms of online advertising than by itself. Indeed, Internet advertising </w:t>
      </w:r>
      <w:r w:rsidR="00B36785" w:rsidRPr="005756A6">
        <w:rPr>
          <w:rFonts w:ascii="Garamond" w:hAnsi="Garamond" w:cs="Times New Roman"/>
          <w:sz w:val="24"/>
          <w:szCs w:val="24"/>
        </w:rPr>
        <w:t xml:space="preserve">alone </w:t>
      </w:r>
      <w:r w:rsidR="00341411" w:rsidRPr="005756A6">
        <w:rPr>
          <w:rFonts w:ascii="Garamond" w:hAnsi="Garamond" w:cs="Times New Roman"/>
          <w:sz w:val="24"/>
          <w:szCs w:val="24"/>
        </w:rPr>
        <w:t>produces no effect on turnout in the Republican primary. Internet + pre-roll advertising, however, increases turnout by a full percentage point</w:t>
      </w:r>
      <w:r w:rsidR="00B36785" w:rsidRPr="005756A6">
        <w:rPr>
          <w:rFonts w:ascii="Garamond" w:hAnsi="Garamond" w:cs="Times New Roman"/>
          <w:sz w:val="24"/>
          <w:szCs w:val="24"/>
        </w:rPr>
        <w:t xml:space="preserve">, as does </w:t>
      </w:r>
      <w:r w:rsidR="00341411" w:rsidRPr="005756A6">
        <w:rPr>
          <w:rFonts w:ascii="Garamond" w:hAnsi="Garamond" w:cs="Times New Roman"/>
          <w:sz w:val="24"/>
          <w:szCs w:val="24"/>
        </w:rPr>
        <w:t>Internet + Facebook + pre-roll advertising.</w:t>
      </w:r>
      <w:r w:rsidR="00937C95" w:rsidRPr="005756A6">
        <w:rPr>
          <w:rFonts w:ascii="Garamond" w:hAnsi="Garamond" w:cs="Times New Roman"/>
          <w:sz w:val="24"/>
          <w:szCs w:val="24"/>
        </w:rPr>
        <w:t xml:space="preserve"> </w:t>
      </w:r>
      <w:r w:rsidR="00AC158F" w:rsidRPr="005756A6">
        <w:rPr>
          <w:rFonts w:ascii="Garamond" w:hAnsi="Garamond" w:cs="Times New Roman"/>
          <w:sz w:val="24"/>
          <w:szCs w:val="24"/>
        </w:rPr>
        <w:t xml:space="preserve"> </w:t>
      </w:r>
      <w:r w:rsidR="00A77858" w:rsidRPr="005756A6">
        <w:rPr>
          <w:rFonts w:ascii="Garamond" w:hAnsi="Garamond" w:cs="Times New Roman"/>
          <w:sz w:val="24"/>
          <w:szCs w:val="24"/>
        </w:rPr>
        <w:t>On the other hand</w:t>
      </w:r>
      <w:r w:rsidR="0025272E" w:rsidRPr="005756A6">
        <w:rPr>
          <w:rFonts w:ascii="Garamond" w:hAnsi="Garamond" w:cs="Times New Roman"/>
          <w:sz w:val="24"/>
          <w:szCs w:val="24"/>
        </w:rPr>
        <w:t xml:space="preserve">, combining Facebook advertising with other forms of online advertising does little to improve Abbott’s favorability. In fact, Facebook + pre-roll, Facebook + Internet, and Facebook + Internet + pre-roll all </w:t>
      </w:r>
      <w:r w:rsidR="00B447CE" w:rsidRPr="005756A6">
        <w:rPr>
          <w:rFonts w:ascii="Garamond" w:hAnsi="Garamond" w:cs="Times New Roman"/>
          <w:sz w:val="24"/>
          <w:szCs w:val="24"/>
        </w:rPr>
        <w:t>improve</w:t>
      </w:r>
      <w:r w:rsidR="0025272E" w:rsidRPr="005756A6">
        <w:rPr>
          <w:rFonts w:ascii="Garamond" w:hAnsi="Garamond" w:cs="Times New Roman"/>
          <w:sz w:val="24"/>
          <w:szCs w:val="24"/>
        </w:rPr>
        <w:t xml:space="preserve"> </w:t>
      </w:r>
      <w:r w:rsidR="00A77858" w:rsidRPr="005756A6">
        <w:rPr>
          <w:rFonts w:ascii="Garamond" w:hAnsi="Garamond" w:cs="Times New Roman"/>
          <w:sz w:val="24"/>
          <w:szCs w:val="24"/>
        </w:rPr>
        <w:t xml:space="preserve">his </w:t>
      </w:r>
      <w:r w:rsidR="0025272E" w:rsidRPr="005756A6">
        <w:rPr>
          <w:rFonts w:ascii="Garamond" w:hAnsi="Garamond" w:cs="Times New Roman"/>
          <w:sz w:val="24"/>
          <w:szCs w:val="24"/>
        </w:rPr>
        <w:t>favorability</w:t>
      </w:r>
      <w:r w:rsidR="00B447CE" w:rsidRPr="005756A6">
        <w:rPr>
          <w:rFonts w:ascii="Garamond" w:hAnsi="Garamond" w:cs="Times New Roman"/>
          <w:sz w:val="24"/>
          <w:szCs w:val="24"/>
        </w:rPr>
        <w:t xml:space="preserve"> less than the baseline average</w:t>
      </w:r>
      <w:r w:rsidR="0025272E" w:rsidRPr="005756A6">
        <w:rPr>
          <w:rFonts w:ascii="Garamond" w:hAnsi="Garamond" w:cs="Times New Roman"/>
          <w:sz w:val="24"/>
          <w:szCs w:val="24"/>
        </w:rPr>
        <w:t xml:space="preserve">. </w:t>
      </w:r>
      <w:r w:rsidR="00B7684A" w:rsidRPr="005756A6">
        <w:rPr>
          <w:rFonts w:ascii="Garamond" w:hAnsi="Garamond" w:cs="Times New Roman"/>
          <w:sz w:val="24"/>
          <w:szCs w:val="24"/>
        </w:rPr>
        <w:t xml:space="preserve">Facebook advertising on its own has a </w:t>
      </w:r>
      <w:r w:rsidR="001F06A4" w:rsidRPr="005756A6">
        <w:rPr>
          <w:rFonts w:ascii="Garamond" w:hAnsi="Garamond" w:cs="Times New Roman"/>
          <w:sz w:val="24"/>
          <w:szCs w:val="24"/>
        </w:rPr>
        <w:t>p</w:t>
      </w:r>
      <w:r w:rsidR="00B7684A" w:rsidRPr="005756A6">
        <w:rPr>
          <w:rFonts w:ascii="Garamond" w:hAnsi="Garamond" w:cs="Times New Roman"/>
          <w:sz w:val="24"/>
          <w:szCs w:val="24"/>
        </w:rPr>
        <w:t>ositive</w:t>
      </w:r>
      <w:r w:rsidR="001F06A4" w:rsidRPr="005756A6">
        <w:rPr>
          <w:rFonts w:ascii="Garamond" w:hAnsi="Garamond" w:cs="Times New Roman"/>
          <w:sz w:val="24"/>
          <w:szCs w:val="24"/>
        </w:rPr>
        <w:t xml:space="preserve">, </w:t>
      </w:r>
      <w:r w:rsidR="00A77858" w:rsidRPr="005756A6">
        <w:rPr>
          <w:rFonts w:ascii="Garamond" w:hAnsi="Garamond" w:cs="Times New Roman"/>
          <w:sz w:val="24"/>
          <w:szCs w:val="24"/>
        </w:rPr>
        <w:t xml:space="preserve">though </w:t>
      </w:r>
      <w:r w:rsidR="00B7684A" w:rsidRPr="005756A6">
        <w:rPr>
          <w:rFonts w:ascii="Garamond" w:hAnsi="Garamond" w:cs="Times New Roman"/>
          <w:sz w:val="24"/>
          <w:szCs w:val="24"/>
        </w:rPr>
        <w:t xml:space="preserve">statistically insignificant effect. </w:t>
      </w:r>
      <w:r w:rsidR="00A77858" w:rsidRPr="005756A6">
        <w:rPr>
          <w:rFonts w:ascii="Garamond" w:hAnsi="Garamond" w:cs="Times New Roman"/>
          <w:sz w:val="24"/>
          <w:szCs w:val="24"/>
        </w:rPr>
        <w:t>Finally</w:t>
      </w:r>
      <w:r w:rsidR="00B7684A" w:rsidRPr="005756A6">
        <w:rPr>
          <w:rFonts w:ascii="Garamond" w:hAnsi="Garamond" w:cs="Times New Roman"/>
          <w:sz w:val="24"/>
          <w:szCs w:val="24"/>
        </w:rPr>
        <w:t xml:space="preserve">, pre-roll advertising is not very effective on either dimension. Pre-roll on its own </w:t>
      </w:r>
      <w:r w:rsidR="00B447CE" w:rsidRPr="005756A6">
        <w:rPr>
          <w:rFonts w:ascii="Garamond" w:hAnsi="Garamond" w:cs="Times New Roman"/>
          <w:sz w:val="24"/>
          <w:szCs w:val="24"/>
        </w:rPr>
        <w:t xml:space="preserve">increases </w:t>
      </w:r>
      <w:r w:rsidR="008D2F00" w:rsidRPr="005756A6">
        <w:rPr>
          <w:rFonts w:ascii="Garamond" w:hAnsi="Garamond" w:cs="Times New Roman"/>
          <w:sz w:val="24"/>
          <w:szCs w:val="24"/>
        </w:rPr>
        <w:t xml:space="preserve">Abbott’s </w:t>
      </w:r>
      <w:r w:rsidR="00A77858" w:rsidRPr="005756A6">
        <w:rPr>
          <w:rFonts w:ascii="Garamond" w:hAnsi="Garamond" w:cs="Times New Roman"/>
          <w:sz w:val="24"/>
          <w:szCs w:val="24"/>
        </w:rPr>
        <w:t>f</w:t>
      </w:r>
      <w:r w:rsidR="008D2F00" w:rsidRPr="005756A6">
        <w:rPr>
          <w:rFonts w:ascii="Garamond" w:hAnsi="Garamond" w:cs="Times New Roman"/>
          <w:sz w:val="24"/>
          <w:szCs w:val="24"/>
        </w:rPr>
        <w:t>avorability</w:t>
      </w:r>
      <w:r w:rsidR="00B447CE" w:rsidRPr="005756A6">
        <w:rPr>
          <w:rFonts w:ascii="Garamond" w:hAnsi="Garamond" w:cs="Times New Roman"/>
          <w:sz w:val="24"/>
          <w:szCs w:val="24"/>
        </w:rPr>
        <w:t xml:space="preserve"> less than the baseline average</w:t>
      </w:r>
      <w:r w:rsidR="008D2F00" w:rsidRPr="005756A6">
        <w:rPr>
          <w:rFonts w:ascii="Garamond" w:hAnsi="Garamond" w:cs="Times New Roman"/>
          <w:sz w:val="24"/>
          <w:szCs w:val="24"/>
        </w:rPr>
        <w:t xml:space="preserve">, and this </w:t>
      </w:r>
      <w:r w:rsidR="00A77858" w:rsidRPr="005756A6">
        <w:rPr>
          <w:rFonts w:ascii="Garamond" w:hAnsi="Garamond" w:cs="Times New Roman"/>
          <w:sz w:val="24"/>
          <w:szCs w:val="24"/>
        </w:rPr>
        <w:t>impact</w:t>
      </w:r>
      <w:r w:rsidR="008D2F00" w:rsidRPr="005756A6">
        <w:rPr>
          <w:rFonts w:ascii="Garamond" w:hAnsi="Garamond" w:cs="Times New Roman"/>
          <w:sz w:val="24"/>
          <w:szCs w:val="24"/>
        </w:rPr>
        <w:t xml:space="preserve"> is only somewhat ameliorated when pre-roll is accompanied by other forms of online outreach. For instance, </w:t>
      </w:r>
      <w:r w:rsidR="00A77858" w:rsidRPr="005756A6">
        <w:rPr>
          <w:rFonts w:ascii="Garamond" w:hAnsi="Garamond" w:cs="Times New Roman"/>
          <w:sz w:val="24"/>
          <w:szCs w:val="24"/>
        </w:rPr>
        <w:t xml:space="preserve">neither </w:t>
      </w:r>
      <w:r w:rsidR="008D2F00" w:rsidRPr="005756A6">
        <w:rPr>
          <w:rFonts w:ascii="Garamond" w:hAnsi="Garamond" w:cs="Times New Roman"/>
          <w:sz w:val="24"/>
          <w:szCs w:val="24"/>
        </w:rPr>
        <w:t>pre-roll + Facebook advertising</w:t>
      </w:r>
      <w:r w:rsidR="00A77858" w:rsidRPr="005756A6">
        <w:rPr>
          <w:rFonts w:ascii="Garamond" w:hAnsi="Garamond" w:cs="Times New Roman"/>
          <w:sz w:val="24"/>
          <w:szCs w:val="24"/>
        </w:rPr>
        <w:t>,</w:t>
      </w:r>
      <w:r w:rsidR="008D2F00" w:rsidRPr="005756A6">
        <w:rPr>
          <w:rFonts w:ascii="Garamond" w:hAnsi="Garamond" w:cs="Times New Roman"/>
          <w:sz w:val="24"/>
          <w:szCs w:val="24"/>
        </w:rPr>
        <w:t xml:space="preserve"> </w:t>
      </w:r>
      <w:r w:rsidR="00A77858" w:rsidRPr="005756A6">
        <w:rPr>
          <w:rFonts w:ascii="Garamond" w:hAnsi="Garamond" w:cs="Times New Roman"/>
          <w:sz w:val="24"/>
          <w:szCs w:val="24"/>
        </w:rPr>
        <w:t xml:space="preserve">nor </w:t>
      </w:r>
      <w:r w:rsidR="008D2F00" w:rsidRPr="005756A6">
        <w:rPr>
          <w:rFonts w:ascii="Garamond" w:hAnsi="Garamond" w:cs="Times New Roman"/>
          <w:sz w:val="24"/>
          <w:szCs w:val="24"/>
        </w:rPr>
        <w:t xml:space="preserve">pre-roll + Internet + Facebook </w:t>
      </w:r>
      <w:r w:rsidR="00B447CE" w:rsidRPr="005756A6">
        <w:rPr>
          <w:rFonts w:ascii="Garamond" w:hAnsi="Garamond" w:cs="Times New Roman"/>
          <w:sz w:val="24"/>
          <w:szCs w:val="24"/>
        </w:rPr>
        <w:t xml:space="preserve">take </w:t>
      </w:r>
      <w:r w:rsidR="00A77858" w:rsidRPr="005756A6">
        <w:rPr>
          <w:rFonts w:ascii="Garamond" w:hAnsi="Garamond" w:cs="Times New Roman"/>
          <w:sz w:val="24"/>
          <w:szCs w:val="24"/>
        </w:rPr>
        <w:t>Abbott’s favorability</w:t>
      </w:r>
      <w:r w:rsidR="00B447CE" w:rsidRPr="005756A6">
        <w:rPr>
          <w:rFonts w:ascii="Garamond" w:hAnsi="Garamond" w:cs="Times New Roman"/>
          <w:sz w:val="24"/>
          <w:szCs w:val="24"/>
        </w:rPr>
        <w:t xml:space="preserve"> above the baseline average</w:t>
      </w:r>
      <w:r w:rsidR="008D2F00" w:rsidRPr="005756A6">
        <w:rPr>
          <w:rFonts w:ascii="Garamond" w:hAnsi="Garamond" w:cs="Times New Roman"/>
          <w:sz w:val="24"/>
          <w:szCs w:val="24"/>
        </w:rPr>
        <w:t>. Pre-roll + Internet does increase Abbott</w:t>
      </w:r>
      <w:r w:rsidR="00A77858" w:rsidRPr="005756A6">
        <w:rPr>
          <w:rFonts w:ascii="Garamond" w:hAnsi="Garamond" w:cs="Times New Roman"/>
          <w:sz w:val="24"/>
          <w:szCs w:val="24"/>
        </w:rPr>
        <w:t>’s</w:t>
      </w:r>
      <w:r w:rsidR="008D2F00" w:rsidRPr="005756A6">
        <w:rPr>
          <w:rFonts w:ascii="Garamond" w:hAnsi="Garamond" w:cs="Times New Roman"/>
          <w:sz w:val="24"/>
          <w:szCs w:val="24"/>
        </w:rPr>
        <w:t xml:space="preserve"> favorability </w:t>
      </w:r>
      <w:r w:rsidR="00B447CE" w:rsidRPr="005756A6">
        <w:rPr>
          <w:rFonts w:ascii="Garamond" w:hAnsi="Garamond" w:cs="Times New Roman"/>
          <w:sz w:val="24"/>
          <w:szCs w:val="24"/>
        </w:rPr>
        <w:t>more than the baseline</w:t>
      </w:r>
      <w:r w:rsidR="008D2F00" w:rsidRPr="005756A6">
        <w:rPr>
          <w:rFonts w:ascii="Garamond" w:hAnsi="Garamond" w:cs="Times New Roman"/>
          <w:sz w:val="24"/>
          <w:szCs w:val="24"/>
        </w:rPr>
        <w:t>, but otherwise pre-roll advertising performs poorly as a persuasive mode.</w:t>
      </w:r>
    </w:p>
    <w:p w14:paraId="6FDCC113" w14:textId="51EF22A5" w:rsidR="00565A04" w:rsidRPr="005756A6" w:rsidRDefault="00BF0227" w:rsidP="00565A04">
      <w:pPr>
        <w:spacing w:after="0" w:line="480" w:lineRule="auto"/>
        <w:rPr>
          <w:rFonts w:ascii="Garamond" w:hAnsi="Garamond" w:cs="Times New Roman"/>
          <w:sz w:val="24"/>
          <w:szCs w:val="24"/>
        </w:rPr>
      </w:pPr>
      <w:r w:rsidRPr="005756A6">
        <w:rPr>
          <w:rFonts w:ascii="Garamond" w:hAnsi="Garamond" w:cs="Times New Roman"/>
          <w:sz w:val="24"/>
          <w:szCs w:val="24"/>
        </w:rPr>
        <w:tab/>
      </w:r>
      <w:r w:rsidR="00066271" w:rsidRPr="005756A6">
        <w:rPr>
          <w:rFonts w:ascii="Garamond" w:hAnsi="Garamond" w:cs="Times New Roman"/>
          <w:sz w:val="24"/>
          <w:szCs w:val="24"/>
        </w:rPr>
        <w:t xml:space="preserve">This </w:t>
      </w:r>
      <w:r w:rsidR="00D826D8">
        <w:rPr>
          <w:rFonts w:ascii="Garamond" w:hAnsi="Garamond" w:cs="Times New Roman"/>
          <w:sz w:val="24"/>
          <w:szCs w:val="24"/>
        </w:rPr>
        <w:t xml:space="preserve">suggests an interesting possibility: perhaps </w:t>
      </w:r>
      <w:r w:rsidR="00E1596F" w:rsidRPr="005756A6">
        <w:rPr>
          <w:rFonts w:ascii="Garamond" w:hAnsi="Garamond" w:cs="Times New Roman"/>
          <w:sz w:val="24"/>
          <w:szCs w:val="24"/>
        </w:rPr>
        <w:t xml:space="preserve">our </w:t>
      </w:r>
      <w:r w:rsidR="000E6AF1" w:rsidRPr="005756A6">
        <w:rPr>
          <w:rFonts w:ascii="Garamond" w:hAnsi="Garamond" w:cs="Times New Roman"/>
          <w:sz w:val="24"/>
          <w:szCs w:val="24"/>
        </w:rPr>
        <w:t>cable television, radio, online, and mail test</w:t>
      </w:r>
      <w:r w:rsidR="00D20447" w:rsidRPr="005756A6">
        <w:rPr>
          <w:rFonts w:ascii="Garamond" w:hAnsi="Garamond" w:cs="Times New Roman"/>
          <w:sz w:val="24"/>
          <w:szCs w:val="24"/>
        </w:rPr>
        <w:t xml:space="preserve"> effects</w:t>
      </w:r>
      <w:r w:rsidR="007C7B61" w:rsidRPr="005756A6">
        <w:rPr>
          <w:rFonts w:ascii="Garamond" w:hAnsi="Garamond" w:cs="Times New Roman"/>
          <w:sz w:val="24"/>
          <w:szCs w:val="24"/>
        </w:rPr>
        <w:t xml:space="preserve"> </w:t>
      </w:r>
      <w:r w:rsidR="00E1596F" w:rsidRPr="005756A6">
        <w:rPr>
          <w:rFonts w:ascii="Garamond" w:hAnsi="Garamond" w:cs="Times New Roman"/>
          <w:sz w:val="24"/>
          <w:szCs w:val="24"/>
        </w:rPr>
        <w:t xml:space="preserve">might be </w:t>
      </w:r>
      <w:r w:rsidR="00E4696A" w:rsidRPr="005756A6">
        <w:rPr>
          <w:rFonts w:ascii="Garamond" w:hAnsi="Garamond" w:cs="Times New Roman"/>
          <w:sz w:val="24"/>
          <w:szCs w:val="24"/>
        </w:rPr>
        <w:t xml:space="preserve">larger </w:t>
      </w:r>
      <w:r w:rsidR="00E1596F" w:rsidRPr="005756A6">
        <w:rPr>
          <w:rFonts w:ascii="Garamond" w:hAnsi="Garamond" w:cs="Times New Roman"/>
          <w:sz w:val="24"/>
          <w:szCs w:val="24"/>
        </w:rPr>
        <w:t>if</w:t>
      </w:r>
      <w:r w:rsidR="000E6AF1" w:rsidRPr="005756A6">
        <w:rPr>
          <w:rFonts w:ascii="Garamond" w:hAnsi="Garamond" w:cs="Times New Roman"/>
          <w:sz w:val="24"/>
          <w:szCs w:val="24"/>
        </w:rPr>
        <w:t xml:space="preserve"> we </w:t>
      </w:r>
      <w:r w:rsidR="00E1596F" w:rsidRPr="005756A6">
        <w:rPr>
          <w:rFonts w:ascii="Garamond" w:hAnsi="Garamond" w:cs="Times New Roman"/>
          <w:sz w:val="24"/>
          <w:szCs w:val="24"/>
        </w:rPr>
        <w:t xml:space="preserve">isolated </w:t>
      </w:r>
      <w:r w:rsidR="000E6AF1" w:rsidRPr="005756A6">
        <w:rPr>
          <w:rFonts w:ascii="Garamond" w:hAnsi="Garamond" w:cs="Times New Roman"/>
          <w:sz w:val="24"/>
          <w:szCs w:val="24"/>
        </w:rPr>
        <w:t xml:space="preserve">markets where broadcast television advertisements were airing. </w:t>
      </w:r>
      <w:r w:rsidR="00D826D8">
        <w:rPr>
          <w:rFonts w:ascii="Garamond" w:hAnsi="Garamond" w:cs="Times New Roman"/>
          <w:sz w:val="24"/>
          <w:szCs w:val="24"/>
        </w:rPr>
        <w:t xml:space="preserve">This is certainly something one hears from media consultants. </w:t>
      </w:r>
      <w:r w:rsidR="00E73860" w:rsidRPr="005756A6">
        <w:rPr>
          <w:rFonts w:ascii="Garamond" w:hAnsi="Garamond" w:cs="Times New Roman"/>
          <w:sz w:val="24"/>
          <w:szCs w:val="24"/>
        </w:rPr>
        <w:t xml:space="preserve">Figure </w:t>
      </w:r>
      <w:r w:rsidR="00341415" w:rsidRPr="005756A6">
        <w:rPr>
          <w:rFonts w:ascii="Garamond" w:hAnsi="Garamond" w:cs="Times New Roman"/>
          <w:sz w:val="24"/>
          <w:szCs w:val="24"/>
        </w:rPr>
        <w:t>5</w:t>
      </w:r>
      <w:r w:rsidR="00E73860" w:rsidRPr="005756A6">
        <w:rPr>
          <w:rFonts w:ascii="Garamond" w:hAnsi="Garamond" w:cs="Times New Roman"/>
          <w:sz w:val="24"/>
          <w:szCs w:val="24"/>
        </w:rPr>
        <w:t xml:space="preserve"> shows the results of </w:t>
      </w:r>
      <w:r w:rsidR="00E73860" w:rsidRPr="005756A6">
        <w:rPr>
          <w:rFonts w:ascii="Garamond" w:hAnsi="Garamond" w:cs="Times New Roman"/>
          <w:sz w:val="24"/>
          <w:szCs w:val="24"/>
        </w:rPr>
        <w:lastRenderedPageBreak/>
        <w:t xml:space="preserve">the favorability and turnout tests within the broadcast universe. We see that most of the effects identified earlier persist in this setting. Radio, for example, has a large effect on </w:t>
      </w:r>
      <w:r w:rsidR="0006128F" w:rsidRPr="005756A6">
        <w:rPr>
          <w:rFonts w:ascii="Garamond" w:hAnsi="Garamond" w:cs="Times New Roman"/>
          <w:sz w:val="24"/>
          <w:szCs w:val="24"/>
        </w:rPr>
        <w:t xml:space="preserve">both </w:t>
      </w:r>
      <w:r w:rsidR="00E73860" w:rsidRPr="005756A6">
        <w:rPr>
          <w:rFonts w:ascii="Garamond" w:hAnsi="Garamond" w:cs="Times New Roman"/>
          <w:sz w:val="24"/>
          <w:szCs w:val="24"/>
        </w:rPr>
        <w:t xml:space="preserve">net favorability </w:t>
      </w:r>
      <w:r w:rsidR="0006128F" w:rsidRPr="005756A6">
        <w:rPr>
          <w:rFonts w:ascii="Garamond" w:hAnsi="Garamond" w:cs="Times New Roman"/>
          <w:sz w:val="24"/>
          <w:szCs w:val="24"/>
        </w:rPr>
        <w:t>and</w:t>
      </w:r>
      <w:r w:rsidR="007E567F" w:rsidRPr="005756A6">
        <w:rPr>
          <w:rFonts w:ascii="Garamond" w:hAnsi="Garamond" w:cs="Times New Roman"/>
          <w:sz w:val="24"/>
          <w:szCs w:val="24"/>
        </w:rPr>
        <w:t xml:space="preserve"> turnout. Traditional cable increases turnout </w:t>
      </w:r>
      <w:r w:rsidR="00A77858" w:rsidRPr="005756A6">
        <w:rPr>
          <w:rFonts w:ascii="Garamond" w:hAnsi="Garamond" w:cs="Times New Roman"/>
          <w:sz w:val="24"/>
          <w:szCs w:val="24"/>
        </w:rPr>
        <w:t>substantially</w:t>
      </w:r>
      <w:r w:rsidR="007E567F" w:rsidRPr="005756A6">
        <w:rPr>
          <w:rFonts w:ascii="Garamond" w:hAnsi="Garamond" w:cs="Times New Roman"/>
          <w:sz w:val="24"/>
          <w:szCs w:val="24"/>
        </w:rPr>
        <w:t xml:space="preserve">, but </w:t>
      </w:r>
      <w:r w:rsidR="00A77858" w:rsidRPr="005756A6">
        <w:rPr>
          <w:rFonts w:ascii="Garamond" w:hAnsi="Garamond" w:cs="Times New Roman"/>
          <w:sz w:val="24"/>
          <w:szCs w:val="24"/>
        </w:rPr>
        <w:t xml:space="preserve">does not help </w:t>
      </w:r>
      <w:r w:rsidR="007E567F" w:rsidRPr="005756A6">
        <w:rPr>
          <w:rFonts w:ascii="Garamond" w:hAnsi="Garamond" w:cs="Times New Roman"/>
          <w:sz w:val="24"/>
          <w:szCs w:val="24"/>
        </w:rPr>
        <w:t>Abbott</w:t>
      </w:r>
      <w:r w:rsidR="00A77858" w:rsidRPr="005756A6">
        <w:rPr>
          <w:rFonts w:ascii="Garamond" w:hAnsi="Garamond" w:cs="Times New Roman"/>
          <w:sz w:val="24"/>
          <w:szCs w:val="24"/>
        </w:rPr>
        <w:t>’s</w:t>
      </w:r>
      <w:r w:rsidR="007E567F" w:rsidRPr="005756A6">
        <w:rPr>
          <w:rFonts w:ascii="Garamond" w:hAnsi="Garamond" w:cs="Times New Roman"/>
          <w:sz w:val="24"/>
          <w:szCs w:val="24"/>
        </w:rPr>
        <w:t xml:space="preserve"> favorability.</w:t>
      </w:r>
      <w:r w:rsidR="0006128F" w:rsidRPr="005756A6">
        <w:rPr>
          <w:rFonts w:ascii="Garamond" w:hAnsi="Garamond" w:cs="Times New Roman"/>
          <w:sz w:val="24"/>
          <w:szCs w:val="24"/>
        </w:rPr>
        <w:t xml:space="preserve"> Targeted cable </w:t>
      </w:r>
      <w:r w:rsidR="00D826D8">
        <w:rPr>
          <w:rFonts w:ascii="Garamond" w:hAnsi="Garamond" w:cs="Times New Roman"/>
          <w:sz w:val="24"/>
          <w:szCs w:val="24"/>
        </w:rPr>
        <w:t>TV</w:t>
      </w:r>
      <w:r w:rsidR="0006128F" w:rsidRPr="005756A6">
        <w:rPr>
          <w:rFonts w:ascii="Garamond" w:hAnsi="Garamond" w:cs="Times New Roman"/>
          <w:sz w:val="24"/>
          <w:szCs w:val="24"/>
        </w:rPr>
        <w:t xml:space="preserve">, by contrast, improves net favorability but </w:t>
      </w:r>
      <w:r w:rsidR="00A77858" w:rsidRPr="005756A6">
        <w:rPr>
          <w:rFonts w:ascii="Garamond" w:hAnsi="Garamond" w:cs="Times New Roman"/>
          <w:sz w:val="24"/>
          <w:szCs w:val="24"/>
        </w:rPr>
        <w:t xml:space="preserve">not </w:t>
      </w:r>
      <w:r w:rsidR="0006128F" w:rsidRPr="005756A6">
        <w:rPr>
          <w:rFonts w:ascii="Garamond" w:hAnsi="Garamond" w:cs="Times New Roman"/>
          <w:sz w:val="24"/>
          <w:szCs w:val="24"/>
        </w:rPr>
        <w:t xml:space="preserve">turnout. </w:t>
      </w:r>
      <w:r w:rsidR="00567A18" w:rsidRPr="005756A6">
        <w:rPr>
          <w:rFonts w:ascii="Garamond" w:hAnsi="Garamond" w:cs="Times New Roman"/>
          <w:sz w:val="24"/>
          <w:szCs w:val="24"/>
        </w:rPr>
        <w:t xml:space="preserve"> </w:t>
      </w:r>
      <w:r w:rsidR="006165DB" w:rsidRPr="005756A6">
        <w:rPr>
          <w:rFonts w:ascii="Garamond" w:hAnsi="Garamond" w:cs="Times New Roman"/>
          <w:sz w:val="24"/>
          <w:szCs w:val="24"/>
        </w:rPr>
        <w:t>D</w:t>
      </w:r>
      <w:r w:rsidR="00567A18" w:rsidRPr="005756A6">
        <w:rPr>
          <w:rFonts w:ascii="Garamond" w:hAnsi="Garamond" w:cs="Times New Roman"/>
          <w:sz w:val="24"/>
          <w:szCs w:val="24"/>
        </w:rPr>
        <w:t xml:space="preserve">irect mail </w:t>
      </w:r>
      <w:r w:rsidR="00A77858" w:rsidRPr="005756A6">
        <w:rPr>
          <w:rFonts w:ascii="Garamond" w:hAnsi="Garamond" w:cs="Times New Roman"/>
          <w:sz w:val="24"/>
          <w:szCs w:val="24"/>
        </w:rPr>
        <w:t xml:space="preserve">in the broadcast markets </w:t>
      </w:r>
      <w:r w:rsidR="0006128F" w:rsidRPr="005756A6">
        <w:rPr>
          <w:rFonts w:ascii="Garamond" w:hAnsi="Garamond" w:cs="Times New Roman"/>
          <w:sz w:val="24"/>
          <w:szCs w:val="24"/>
        </w:rPr>
        <w:t xml:space="preserve">has a slightly positive effect </w:t>
      </w:r>
      <w:r w:rsidR="0003191E" w:rsidRPr="005756A6">
        <w:rPr>
          <w:rFonts w:ascii="Garamond" w:hAnsi="Garamond" w:cs="Times New Roman"/>
          <w:sz w:val="24"/>
          <w:szCs w:val="24"/>
        </w:rPr>
        <w:t xml:space="preserve">on both dimensions, </w:t>
      </w:r>
      <w:r w:rsidR="0006128F" w:rsidRPr="005756A6">
        <w:rPr>
          <w:rFonts w:ascii="Garamond" w:hAnsi="Garamond" w:cs="Times New Roman"/>
          <w:sz w:val="24"/>
          <w:szCs w:val="24"/>
        </w:rPr>
        <w:t>while</w:t>
      </w:r>
      <w:r w:rsidR="0003191E" w:rsidRPr="005756A6">
        <w:rPr>
          <w:rFonts w:ascii="Garamond" w:hAnsi="Garamond" w:cs="Times New Roman"/>
          <w:sz w:val="24"/>
          <w:szCs w:val="24"/>
        </w:rPr>
        <w:t xml:space="preserve"> pre-roll and </w:t>
      </w:r>
      <w:r w:rsidR="0006128F" w:rsidRPr="005756A6">
        <w:rPr>
          <w:rFonts w:ascii="Garamond" w:hAnsi="Garamond" w:cs="Times New Roman"/>
          <w:sz w:val="24"/>
          <w:szCs w:val="24"/>
        </w:rPr>
        <w:t xml:space="preserve">internet </w:t>
      </w:r>
      <w:r w:rsidR="0003191E" w:rsidRPr="005756A6">
        <w:rPr>
          <w:rFonts w:ascii="Garamond" w:hAnsi="Garamond" w:cs="Times New Roman"/>
          <w:sz w:val="24"/>
          <w:szCs w:val="24"/>
        </w:rPr>
        <w:t xml:space="preserve">advertising </w:t>
      </w:r>
      <w:r w:rsidR="00A77858" w:rsidRPr="005756A6">
        <w:rPr>
          <w:rFonts w:ascii="Garamond" w:hAnsi="Garamond" w:cs="Times New Roman"/>
          <w:sz w:val="24"/>
          <w:szCs w:val="24"/>
        </w:rPr>
        <w:t xml:space="preserve">fail to boost either </w:t>
      </w:r>
      <w:r w:rsidR="0003191E" w:rsidRPr="005756A6">
        <w:rPr>
          <w:rFonts w:ascii="Garamond" w:hAnsi="Garamond" w:cs="Times New Roman"/>
          <w:sz w:val="24"/>
          <w:szCs w:val="24"/>
        </w:rPr>
        <w:t xml:space="preserve">turnout </w:t>
      </w:r>
      <w:r w:rsidR="00A77858" w:rsidRPr="005756A6">
        <w:rPr>
          <w:rFonts w:ascii="Garamond" w:hAnsi="Garamond" w:cs="Times New Roman"/>
          <w:sz w:val="24"/>
          <w:szCs w:val="24"/>
        </w:rPr>
        <w:t>or favorability</w:t>
      </w:r>
      <w:r w:rsidR="0003191E" w:rsidRPr="005756A6">
        <w:rPr>
          <w:rFonts w:ascii="Garamond" w:hAnsi="Garamond" w:cs="Times New Roman"/>
          <w:sz w:val="24"/>
          <w:szCs w:val="24"/>
        </w:rPr>
        <w:t>.</w:t>
      </w:r>
    </w:p>
    <w:p w14:paraId="09BB4050" w14:textId="6F9EED9D" w:rsidR="00341415" w:rsidRPr="005756A6" w:rsidRDefault="00341415" w:rsidP="00341415">
      <w:pPr>
        <w:spacing w:after="0" w:line="480" w:lineRule="auto"/>
        <w:jc w:val="center"/>
        <w:rPr>
          <w:rFonts w:ascii="Garamond" w:hAnsi="Garamond" w:cs="Times New Roman"/>
          <w:sz w:val="24"/>
          <w:szCs w:val="24"/>
        </w:rPr>
      </w:pPr>
      <w:r w:rsidRPr="005756A6">
        <w:rPr>
          <w:rFonts w:ascii="Garamond" w:hAnsi="Garamond" w:cs="Times New Roman"/>
          <w:sz w:val="24"/>
          <w:szCs w:val="24"/>
        </w:rPr>
        <w:t>[Figure 5 about here]</w:t>
      </w:r>
    </w:p>
    <w:p w14:paraId="75714EAD" w14:textId="583CE730" w:rsidR="00E1596F" w:rsidRPr="005756A6" w:rsidRDefault="00E1596F" w:rsidP="00565A04">
      <w:pPr>
        <w:spacing w:after="0" w:line="480" w:lineRule="auto"/>
        <w:rPr>
          <w:rFonts w:ascii="Garamond" w:hAnsi="Garamond" w:cs="Times New Roman"/>
          <w:sz w:val="24"/>
          <w:szCs w:val="24"/>
        </w:rPr>
      </w:pPr>
      <w:r w:rsidRPr="005756A6">
        <w:rPr>
          <w:rFonts w:ascii="Garamond" w:hAnsi="Garamond" w:cs="Times New Roman"/>
          <w:sz w:val="24"/>
          <w:szCs w:val="24"/>
        </w:rPr>
        <w:tab/>
        <w:t xml:space="preserve">What we fail to see, however, is a marked increase in the size of effects within the broadcast markets. At best, the estimated impact of other modes receives a very slight boost within the broadcast television environment. From our perspective, this constitutes weak evidence for the consultant’s claim that television advertising “primes the pump,” and creates a more receptive and persuadable audience for other forms of outreach. </w:t>
      </w:r>
    </w:p>
    <w:p w14:paraId="77F41FDA" w14:textId="77777777" w:rsidR="00D826D8" w:rsidRDefault="00D826D8" w:rsidP="00E1596F">
      <w:pPr>
        <w:spacing w:after="0" w:line="480" w:lineRule="auto"/>
        <w:rPr>
          <w:rFonts w:ascii="Garamond" w:hAnsi="Garamond" w:cs="Times New Roman"/>
          <w:sz w:val="24"/>
          <w:szCs w:val="24"/>
          <w:u w:val="single"/>
        </w:rPr>
      </w:pPr>
    </w:p>
    <w:p w14:paraId="217C55C7" w14:textId="77777777" w:rsidR="00E1596F" w:rsidRPr="005756A6" w:rsidRDefault="00E1596F" w:rsidP="00E1596F">
      <w:pPr>
        <w:spacing w:after="0" w:line="480" w:lineRule="auto"/>
        <w:rPr>
          <w:rFonts w:ascii="Garamond" w:hAnsi="Garamond" w:cs="Times New Roman"/>
          <w:sz w:val="24"/>
          <w:szCs w:val="24"/>
          <w:u w:val="single"/>
        </w:rPr>
      </w:pPr>
      <w:r w:rsidRPr="005756A6">
        <w:rPr>
          <w:rFonts w:ascii="Garamond" w:hAnsi="Garamond" w:cs="Times New Roman"/>
          <w:sz w:val="24"/>
          <w:szCs w:val="24"/>
          <w:u w:val="single"/>
        </w:rPr>
        <w:t>What about Cost?</w:t>
      </w:r>
    </w:p>
    <w:p w14:paraId="4929A9B1" w14:textId="77777777" w:rsidR="002D2679" w:rsidRDefault="00D94054" w:rsidP="00E1596F">
      <w:pPr>
        <w:spacing w:after="0" w:line="480" w:lineRule="auto"/>
        <w:ind w:firstLine="720"/>
        <w:rPr>
          <w:rFonts w:ascii="Garamond" w:hAnsi="Garamond" w:cs="Times New Roman"/>
          <w:sz w:val="24"/>
          <w:szCs w:val="24"/>
        </w:rPr>
      </w:pPr>
      <w:r w:rsidRPr="005756A6">
        <w:rPr>
          <w:rFonts w:ascii="Garamond" w:hAnsi="Garamond" w:cs="Times New Roman"/>
          <w:sz w:val="24"/>
          <w:szCs w:val="24"/>
        </w:rPr>
        <w:t xml:space="preserve">A </w:t>
      </w:r>
      <w:r w:rsidR="00E1596F" w:rsidRPr="005756A6">
        <w:rPr>
          <w:rFonts w:ascii="Garamond" w:hAnsi="Garamond" w:cs="Times New Roman"/>
          <w:sz w:val="24"/>
          <w:szCs w:val="24"/>
        </w:rPr>
        <w:t xml:space="preserve">reasonable </w:t>
      </w:r>
      <w:r w:rsidRPr="005756A6">
        <w:rPr>
          <w:rFonts w:ascii="Garamond" w:hAnsi="Garamond" w:cs="Times New Roman"/>
          <w:sz w:val="24"/>
          <w:szCs w:val="24"/>
        </w:rPr>
        <w:t>objection to this analysis is that these estimated differences in mode effects do not take into account cost differentials.  For example, m</w:t>
      </w:r>
      <w:r w:rsidR="00CA6BD0" w:rsidRPr="005756A6">
        <w:rPr>
          <w:rFonts w:ascii="Garamond" w:hAnsi="Garamond" w:cs="Times New Roman"/>
          <w:sz w:val="24"/>
          <w:szCs w:val="24"/>
        </w:rPr>
        <w:t xml:space="preserve">ight </w:t>
      </w:r>
      <w:r w:rsidR="006A4A00" w:rsidRPr="005756A6">
        <w:rPr>
          <w:rFonts w:ascii="Garamond" w:hAnsi="Garamond" w:cs="Times New Roman"/>
          <w:sz w:val="24"/>
          <w:szCs w:val="24"/>
        </w:rPr>
        <w:t xml:space="preserve">the relatively modest effects associated with online outreach in our tests </w:t>
      </w:r>
      <w:r w:rsidR="00CE3E20" w:rsidRPr="005756A6">
        <w:rPr>
          <w:rFonts w:ascii="Garamond" w:hAnsi="Garamond" w:cs="Times New Roman"/>
          <w:sz w:val="24"/>
          <w:szCs w:val="24"/>
        </w:rPr>
        <w:t xml:space="preserve">still </w:t>
      </w:r>
      <w:r w:rsidR="006A4A00" w:rsidRPr="005756A6">
        <w:rPr>
          <w:rFonts w:ascii="Garamond" w:hAnsi="Garamond" w:cs="Times New Roman"/>
          <w:sz w:val="24"/>
          <w:szCs w:val="24"/>
        </w:rPr>
        <w:t>constitute a more cost-effective investment</w:t>
      </w:r>
      <w:r w:rsidR="00CA6BD0" w:rsidRPr="005756A6">
        <w:rPr>
          <w:rFonts w:ascii="Garamond" w:hAnsi="Garamond" w:cs="Times New Roman"/>
          <w:sz w:val="24"/>
          <w:szCs w:val="24"/>
        </w:rPr>
        <w:t>?</w:t>
      </w:r>
      <w:r w:rsidRPr="005756A6">
        <w:rPr>
          <w:rFonts w:ascii="Garamond" w:hAnsi="Garamond" w:cs="Times New Roman"/>
          <w:sz w:val="24"/>
          <w:szCs w:val="24"/>
        </w:rPr>
        <w:t xml:space="preserve"> A crude way of equalizing for cost is to t</w:t>
      </w:r>
      <w:r w:rsidR="00CE3E20" w:rsidRPr="005756A6">
        <w:rPr>
          <w:rFonts w:ascii="Garamond" w:hAnsi="Garamond" w:cs="Times New Roman"/>
          <w:sz w:val="24"/>
          <w:szCs w:val="24"/>
        </w:rPr>
        <w:t xml:space="preserve">ake the </w:t>
      </w:r>
      <w:r w:rsidR="00265BB7" w:rsidRPr="005756A6">
        <w:rPr>
          <w:rFonts w:ascii="Garamond" w:hAnsi="Garamond" w:cs="Times New Roman"/>
          <w:sz w:val="24"/>
          <w:szCs w:val="24"/>
        </w:rPr>
        <w:t xml:space="preserve">estimated effects by campaign mode along with the </w:t>
      </w:r>
      <w:r w:rsidR="00CE3E20" w:rsidRPr="005756A6">
        <w:rPr>
          <w:rFonts w:ascii="Garamond" w:hAnsi="Garamond" w:cs="Times New Roman"/>
          <w:sz w:val="24"/>
          <w:szCs w:val="24"/>
        </w:rPr>
        <w:t xml:space="preserve">actual amount of money </w:t>
      </w:r>
      <w:r w:rsidR="00265BB7" w:rsidRPr="005756A6">
        <w:rPr>
          <w:rFonts w:ascii="Garamond" w:hAnsi="Garamond" w:cs="Times New Roman"/>
          <w:sz w:val="24"/>
          <w:szCs w:val="24"/>
        </w:rPr>
        <w:t xml:space="preserve">spent by mode and </w:t>
      </w:r>
      <w:r w:rsidR="004F7436" w:rsidRPr="005756A6">
        <w:rPr>
          <w:rFonts w:ascii="Garamond" w:hAnsi="Garamond" w:cs="Times New Roman"/>
          <w:sz w:val="24"/>
          <w:szCs w:val="24"/>
        </w:rPr>
        <w:t xml:space="preserve">use these to </w:t>
      </w:r>
      <w:r w:rsidR="00265BB7" w:rsidRPr="005756A6">
        <w:rPr>
          <w:rFonts w:ascii="Garamond" w:hAnsi="Garamond" w:cs="Times New Roman"/>
          <w:sz w:val="24"/>
          <w:szCs w:val="24"/>
        </w:rPr>
        <w:t>calculate the estimated return if each mode had been allotted $100,000.</w:t>
      </w:r>
      <w:r w:rsidR="00CA6BD0" w:rsidRPr="005756A6">
        <w:rPr>
          <w:rFonts w:ascii="Garamond" w:hAnsi="Garamond" w:cs="Times New Roman"/>
          <w:sz w:val="24"/>
          <w:szCs w:val="24"/>
        </w:rPr>
        <w:t xml:space="preserve"> In the absence of data on the</w:t>
      </w:r>
      <w:r w:rsidR="002F040B" w:rsidRPr="005756A6">
        <w:rPr>
          <w:rFonts w:ascii="Garamond" w:hAnsi="Garamond" w:cs="Times New Roman"/>
          <w:sz w:val="24"/>
          <w:szCs w:val="24"/>
        </w:rPr>
        <w:t xml:space="preserve"> impact</w:t>
      </w:r>
      <w:r w:rsidR="00CA6BD0" w:rsidRPr="005756A6">
        <w:rPr>
          <w:rFonts w:ascii="Garamond" w:hAnsi="Garamond" w:cs="Times New Roman"/>
          <w:sz w:val="24"/>
          <w:szCs w:val="24"/>
        </w:rPr>
        <w:t xml:space="preserve"> of </w:t>
      </w:r>
      <w:r w:rsidR="002F040B" w:rsidRPr="005756A6">
        <w:rPr>
          <w:rFonts w:ascii="Garamond" w:hAnsi="Garamond" w:cs="Times New Roman"/>
          <w:sz w:val="24"/>
          <w:szCs w:val="24"/>
        </w:rPr>
        <w:t>high levels of spending for each mode, we make the admittedly heroic assumption that estimated effects are linear.</w:t>
      </w:r>
      <w:r w:rsidR="00265BB7" w:rsidRPr="005756A6">
        <w:rPr>
          <w:rFonts w:ascii="Garamond" w:hAnsi="Garamond" w:cs="Times New Roman"/>
          <w:sz w:val="24"/>
          <w:szCs w:val="24"/>
        </w:rPr>
        <w:t xml:space="preserve"> </w:t>
      </w:r>
    </w:p>
    <w:p w14:paraId="1DD54854" w14:textId="77777777" w:rsidR="002D2679" w:rsidRDefault="004F7436" w:rsidP="00E1596F">
      <w:pPr>
        <w:spacing w:after="0" w:line="480" w:lineRule="auto"/>
        <w:ind w:firstLine="720"/>
        <w:rPr>
          <w:rFonts w:ascii="Garamond" w:hAnsi="Garamond" w:cs="Times New Roman"/>
          <w:sz w:val="24"/>
          <w:szCs w:val="24"/>
        </w:rPr>
      </w:pPr>
      <w:r w:rsidRPr="005756A6">
        <w:rPr>
          <w:rFonts w:ascii="Garamond" w:hAnsi="Garamond" w:cs="Times New Roman"/>
          <w:sz w:val="24"/>
          <w:szCs w:val="24"/>
        </w:rPr>
        <w:t>On a cost-per-</w:t>
      </w:r>
      <w:r w:rsidR="00531FC1" w:rsidRPr="005756A6">
        <w:rPr>
          <w:rFonts w:ascii="Garamond" w:hAnsi="Garamond" w:cs="Times New Roman"/>
          <w:sz w:val="24"/>
          <w:szCs w:val="24"/>
        </w:rPr>
        <w:t>voter</w:t>
      </w:r>
      <w:r w:rsidRPr="005756A6">
        <w:rPr>
          <w:rFonts w:ascii="Garamond" w:hAnsi="Garamond" w:cs="Times New Roman"/>
          <w:sz w:val="24"/>
          <w:szCs w:val="24"/>
        </w:rPr>
        <w:t xml:space="preserve"> basis, we </w:t>
      </w:r>
      <w:r w:rsidR="00D94054" w:rsidRPr="005756A6">
        <w:rPr>
          <w:rFonts w:ascii="Garamond" w:hAnsi="Garamond" w:cs="Times New Roman"/>
          <w:sz w:val="24"/>
          <w:szCs w:val="24"/>
        </w:rPr>
        <w:t xml:space="preserve">find </w:t>
      </w:r>
      <w:r w:rsidRPr="005756A6">
        <w:rPr>
          <w:rFonts w:ascii="Garamond" w:hAnsi="Garamond" w:cs="Times New Roman"/>
          <w:sz w:val="24"/>
          <w:szCs w:val="24"/>
        </w:rPr>
        <w:t xml:space="preserve">what online enthusiasts have long maintained: the </w:t>
      </w:r>
      <w:r w:rsidR="000C1024" w:rsidRPr="005756A6">
        <w:rPr>
          <w:rFonts w:ascii="Garamond" w:hAnsi="Garamond" w:cs="Times New Roman"/>
          <w:sz w:val="24"/>
          <w:szCs w:val="24"/>
        </w:rPr>
        <w:t xml:space="preserve">Internet does seem to provide an excellent relative return on investment. </w:t>
      </w:r>
      <w:r w:rsidR="009D04AF" w:rsidRPr="005756A6">
        <w:rPr>
          <w:rFonts w:ascii="Garamond" w:hAnsi="Garamond" w:cs="Times New Roman"/>
          <w:sz w:val="24"/>
          <w:szCs w:val="24"/>
        </w:rPr>
        <w:t>A $</w:t>
      </w:r>
      <w:r w:rsidR="000C1024" w:rsidRPr="005756A6">
        <w:rPr>
          <w:rFonts w:ascii="Garamond" w:hAnsi="Garamond" w:cs="Times New Roman"/>
          <w:sz w:val="24"/>
          <w:szCs w:val="24"/>
        </w:rPr>
        <w:t xml:space="preserve">100,000 </w:t>
      </w:r>
      <w:r w:rsidR="009D04AF" w:rsidRPr="005756A6">
        <w:rPr>
          <w:rFonts w:ascii="Garamond" w:hAnsi="Garamond" w:cs="Times New Roman"/>
          <w:sz w:val="24"/>
          <w:szCs w:val="24"/>
        </w:rPr>
        <w:t xml:space="preserve">investment in Internet campaigning </w:t>
      </w:r>
      <w:r w:rsidR="000C1024" w:rsidRPr="005756A6">
        <w:rPr>
          <w:rFonts w:ascii="Garamond" w:hAnsi="Garamond" w:cs="Times New Roman"/>
          <w:sz w:val="24"/>
          <w:szCs w:val="24"/>
        </w:rPr>
        <w:t xml:space="preserve">from the Abbott </w:t>
      </w:r>
      <w:r w:rsidR="009D04AF" w:rsidRPr="005756A6">
        <w:rPr>
          <w:rFonts w:ascii="Garamond" w:hAnsi="Garamond" w:cs="Times New Roman"/>
          <w:sz w:val="24"/>
          <w:szCs w:val="24"/>
        </w:rPr>
        <w:t xml:space="preserve">team </w:t>
      </w:r>
      <w:r w:rsidR="000C1024" w:rsidRPr="005756A6">
        <w:rPr>
          <w:rFonts w:ascii="Garamond" w:hAnsi="Garamond" w:cs="Times New Roman"/>
          <w:sz w:val="24"/>
          <w:szCs w:val="24"/>
        </w:rPr>
        <w:t xml:space="preserve">would </w:t>
      </w:r>
      <w:r w:rsidR="002D2679">
        <w:rPr>
          <w:rFonts w:ascii="Garamond" w:hAnsi="Garamond" w:cs="Times New Roman"/>
          <w:sz w:val="24"/>
          <w:szCs w:val="24"/>
        </w:rPr>
        <w:t xml:space="preserve">theoretically </w:t>
      </w:r>
      <w:r w:rsidR="000C1024" w:rsidRPr="005756A6">
        <w:rPr>
          <w:rFonts w:ascii="Garamond" w:hAnsi="Garamond" w:cs="Times New Roman"/>
          <w:sz w:val="24"/>
          <w:szCs w:val="24"/>
        </w:rPr>
        <w:t xml:space="preserve">raise the candidate’s net favorability </w:t>
      </w:r>
      <w:r w:rsidR="000C1024" w:rsidRPr="005756A6">
        <w:rPr>
          <w:rFonts w:ascii="Garamond" w:hAnsi="Garamond" w:cs="Times New Roman"/>
          <w:sz w:val="24"/>
          <w:szCs w:val="24"/>
        </w:rPr>
        <w:lastRenderedPageBreak/>
        <w:t>rating by 1</w:t>
      </w:r>
      <w:r w:rsidR="00D03B07" w:rsidRPr="005756A6">
        <w:rPr>
          <w:rFonts w:ascii="Garamond" w:hAnsi="Garamond" w:cs="Times New Roman"/>
          <w:sz w:val="24"/>
          <w:szCs w:val="24"/>
        </w:rPr>
        <w:t>6.6 points</w:t>
      </w:r>
      <w:r w:rsidR="000C1024" w:rsidRPr="005756A6">
        <w:rPr>
          <w:rFonts w:ascii="Garamond" w:hAnsi="Garamond" w:cs="Times New Roman"/>
          <w:sz w:val="24"/>
          <w:szCs w:val="24"/>
        </w:rPr>
        <w:t xml:space="preserve">. </w:t>
      </w:r>
      <w:r w:rsidR="00B95621" w:rsidRPr="005756A6">
        <w:rPr>
          <w:rFonts w:ascii="Garamond" w:hAnsi="Garamond" w:cs="Times New Roman"/>
          <w:sz w:val="24"/>
          <w:szCs w:val="24"/>
        </w:rPr>
        <w:t>Although i</w:t>
      </w:r>
      <w:r w:rsidR="007C1464" w:rsidRPr="005756A6">
        <w:rPr>
          <w:rFonts w:ascii="Garamond" w:hAnsi="Garamond" w:cs="Times New Roman"/>
          <w:sz w:val="24"/>
          <w:szCs w:val="24"/>
        </w:rPr>
        <w:t>t is also worth noting that th</w:t>
      </w:r>
      <w:r w:rsidR="00B95621" w:rsidRPr="005756A6">
        <w:rPr>
          <w:rFonts w:ascii="Garamond" w:hAnsi="Garamond" w:cs="Times New Roman"/>
          <w:sz w:val="24"/>
          <w:szCs w:val="24"/>
        </w:rPr>
        <w:t>e</w:t>
      </w:r>
      <w:r w:rsidR="007C1464" w:rsidRPr="005756A6">
        <w:rPr>
          <w:rFonts w:ascii="Garamond" w:hAnsi="Garamond" w:cs="Times New Roman"/>
          <w:sz w:val="24"/>
          <w:szCs w:val="24"/>
        </w:rPr>
        <w:t xml:space="preserve"> effect </w:t>
      </w:r>
      <w:r w:rsidR="00B95621" w:rsidRPr="005756A6">
        <w:rPr>
          <w:rFonts w:ascii="Garamond" w:hAnsi="Garamond" w:cs="Times New Roman"/>
          <w:sz w:val="24"/>
          <w:szCs w:val="24"/>
        </w:rPr>
        <w:t>d</w:t>
      </w:r>
      <w:r w:rsidR="00F4506C" w:rsidRPr="005756A6">
        <w:rPr>
          <w:rFonts w:ascii="Garamond" w:hAnsi="Garamond" w:cs="Times New Roman"/>
          <w:sz w:val="24"/>
          <w:szCs w:val="24"/>
        </w:rPr>
        <w:t>ecreases</w:t>
      </w:r>
      <w:r w:rsidR="00B95621" w:rsidRPr="005756A6">
        <w:rPr>
          <w:rFonts w:ascii="Garamond" w:hAnsi="Garamond" w:cs="Times New Roman"/>
          <w:sz w:val="24"/>
          <w:szCs w:val="24"/>
        </w:rPr>
        <w:t xml:space="preserve"> </w:t>
      </w:r>
      <w:r w:rsidR="007C1464" w:rsidRPr="005756A6">
        <w:rPr>
          <w:rFonts w:ascii="Garamond" w:hAnsi="Garamond" w:cs="Times New Roman"/>
          <w:sz w:val="24"/>
          <w:szCs w:val="24"/>
        </w:rPr>
        <w:t>in a broadcast television environment</w:t>
      </w:r>
      <w:r w:rsidR="00B95621" w:rsidRPr="005756A6">
        <w:rPr>
          <w:rFonts w:ascii="Garamond" w:hAnsi="Garamond" w:cs="Times New Roman"/>
          <w:sz w:val="24"/>
          <w:szCs w:val="24"/>
        </w:rPr>
        <w:t xml:space="preserve">, we still think these data confirm our positive expectation about the </w:t>
      </w:r>
      <w:r w:rsidR="00531FC1" w:rsidRPr="005756A6">
        <w:rPr>
          <w:rFonts w:ascii="Garamond" w:hAnsi="Garamond" w:cs="Times New Roman"/>
          <w:sz w:val="24"/>
          <w:szCs w:val="24"/>
        </w:rPr>
        <w:t>relative, cost-controlled effectiveness</w:t>
      </w:r>
      <w:r w:rsidR="00B95621" w:rsidRPr="005756A6">
        <w:rPr>
          <w:rFonts w:ascii="Garamond" w:hAnsi="Garamond" w:cs="Times New Roman"/>
          <w:sz w:val="24"/>
          <w:szCs w:val="24"/>
        </w:rPr>
        <w:t xml:space="preserve"> of Internet advertising</w:t>
      </w:r>
      <w:r w:rsidR="007C1464" w:rsidRPr="005756A6">
        <w:rPr>
          <w:rFonts w:ascii="Garamond" w:hAnsi="Garamond" w:cs="Times New Roman"/>
          <w:sz w:val="24"/>
          <w:szCs w:val="24"/>
        </w:rPr>
        <w:t>.</w:t>
      </w:r>
      <w:r w:rsidR="00D94054" w:rsidRPr="005756A6">
        <w:rPr>
          <w:rFonts w:ascii="Garamond" w:hAnsi="Garamond" w:cs="Times New Roman"/>
          <w:sz w:val="24"/>
          <w:szCs w:val="24"/>
        </w:rPr>
        <w:t xml:space="preserve"> </w:t>
      </w:r>
    </w:p>
    <w:p w14:paraId="61D66F2B" w14:textId="53FAADA6" w:rsidR="002B0EE4" w:rsidRPr="005756A6" w:rsidRDefault="00D94054" w:rsidP="00E1596F">
      <w:pPr>
        <w:spacing w:after="0" w:line="480" w:lineRule="auto"/>
        <w:ind w:firstLine="720"/>
        <w:rPr>
          <w:rFonts w:ascii="Garamond" w:hAnsi="Garamond" w:cs="Times New Roman"/>
          <w:sz w:val="24"/>
          <w:szCs w:val="24"/>
        </w:rPr>
      </w:pPr>
      <w:r w:rsidRPr="005756A6">
        <w:rPr>
          <w:rFonts w:ascii="Garamond" w:hAnsi="Garamond" w:cs="Times New Roman"/>
          <w:sz w:val="24"/>
          <w:szCs w:val="24"/>
        </w:rPr>
        <w:t xml:space="preserve">Even in this </w:t>
      </w:r>
      <w:r w:rsidR="002D2679">
        <w:rPr>
          <w:rFonts w:ascii="Garamond" w:hAnsi="Garamond" w:cs="Times New Roman"/>
          <w:sz w:val="24"/>
          <w:szCs w:val="24"/>
        </w:rPr>
        <w:t>analysis</w:t>
      </w:r>
      <w:r w:rsidRPr="005756A6">
        <w:rPr>
          <w:rFonts w:ascii="Garamond" w:hAnsi="Garamond" w:cs="Times New Roman"/>
          <w:sz w:val="24"/>
          <w:szCs w:val="24"/>
        </w:rPr>
        <w:t xml:space="preserve">, however, </w:t>
      </w:r>
      <w:r w:rsidR="00531FC1" w:rsidRPr="005756A6">
        <w:rPr>
          <w:rFonts w:ascii="Garamond" w:hAnsi="Garamond" w:cs="Times New Roman"/>
          <w:sz w:val="24"/>
          <w:szCs w:val="24"/>
        </w:rPr>
        <w:t xml:space="preserve">broadcast TV still looks like a solid investment. A </w:t>
      </w:r>
      <w:r w:rsidR="000959D3" w:rsidRPr="005756A6">
        <w:rPr>
          <w:rFonts w:ascii="Garamond" w:hAnsi="Garamond" w:cs="Times New Roman"/>
          <w:sz w:val="24"/>
          <w:szCs w:val="24"/>
        </w:rPr>
        <w:t xml:space="preserve">$100,000 </w:t>
      </w:r>
      <w:r w:rsidR="002E2015" w:rsidRPr="005756A6">
        <w:rPr>
          <w:rFonts w:ascii="Garamond" w:hAnsi="Garamond" w:cs="Times New Roman"/>
          <w:sz w:val="24"/>
          <w:szCs w:val="24"/>
        </w:rPr>
        <w:t xml:space="preserve">targeted </w:t>
      </w:r>
      <w:r w:rsidR="00531FC1" w:rsidRPr="005756A6">
        <w:rPr>
          <w:rFonts w:ascii="Garamond" w:hAnsi="Garamond" w:cs="Times New Roman"/>
          <w:sz w:val="24"/>
          <w:szCs w:val="24"/>
        </w:rPr>
        <w:t xml:space="preserve">TV </w:t>
      </w:r>
      <w:r w:rsidR="002E2015" w:rsidRPr="005756A6">
        <w:rPr>
          <w:rFonts w:ascii="Garamond" w:hAnsi="Garamond" w:cs="Times New Roman"/>
          <w:sz w:val="24"/>
          <w:szCs w:val="24"/>
        </w:rPr>
        <w:t xml:space="preserve">buy </w:t>
      </w:r>
      <w:r w:rsidR="00274F5A" w:rsidRPr="005756A6">
        <w:rPr>
          <w:rFonts w:ascii="Garamond" w:hAnsi="Garamond" w:cs="Times New Roman"/>
          <w:sz w:val="24"/>
          <w:szCs w:val="24"/>
        </w:rPr>
        <w:t>produce</w:t>
      </w:r>
      <w:r w:rsidR="000959D3" w:rsidRPr="005756A6">
        <w:rPr>
          <w:rFonts w:ascii="Garamond" w:hAnsi="Garamond" w:cs="Times New Roman"/>
          <w:sz w:val="24"/>
          <w:szCs w:val="24"/>
        </w:rPr>
        <w:t>s</w:t>
      </w:r>
      <w:r w:rsidR="00274F5A" w:rsidRPr="005756A6">
        <w:rPr>
          <w:rFonts w:ascii="Garamond" w:hAnsi="Garamond" w:cs="Times New Roman"/>
          <w:sz w:val="24"/>
          <w:szCs w:val="24"/>
        </w:rPr>
        <w:t xml:space="preserve"> a </w:t>
      </w:r>
      <w:r w:rsidR="00E021F7" w:rsidRPr="005756A6">
        <w:rPr>
          <w:rFonts w:ascii="Garamond" w:hAnsi="Garamond" w:cs="Times New Roman"/>
          <w:sz w:val="24"/>
          <w:szCs w:val="24"/>
        </w:rPr>
        <w:t>+5.</w:t>
      </w:r>
      <w:r w:rsidR="00D03B07" w:rsidRPr="005756A6">
        <w:rPr>
          <w:rFonts w:ascii="Garamond" w:hAnsi="Garamond" w:cs="Times New Roman"/>
          <w:sz w:val="24"/>
          <w:szCs w:val="24"/>
        </w:rPr>
        <w:t>4</w:t>
      </w:r>
      <w:r w:rsidR="00E021F7" w:rsidRPr="005756A6">
        <w:rPr>
          <w:rFonts w:ascii="Garamond" w:hAnsi="Garamond" w:cs="Times New Roman"/>
          <w:sz w:val="24"/>
          <w:szCs w:val="24"/>
        </w:rPr>
        <w:t xml:space="preserve"> point </w:t>
      </w:r>
      <w:r w:rsidR="006D5E66" w:rsidRPr="005756A6">
        <w:rPr>
          <w:rFonts w:ascii="Garamond" w:hAnsi="Garamond" w:cs="Times New Roman"/>
          <w:sz w:val="24"/>
          <w:szCs w:val="24"/>
        </w:rPr>
        <w:t xml:space="preserve">increase in </w:t>
      </w:r>
      <w:r w:rsidR="00274F5A" w:rsidRPr="005756A6">
        <w:rPr>
          <w:rFonts w:ascii="Garamond" w:hAnsi="Garamond" w:cs="Times New Roman"/>
          <w:sz w:val="24"/>
          <w:szCs w:val="24"/>
        </w:rPr>
        <w:t>favorability</w:t>
      </w:r>
      <w:r w:rsidR="00E021F7" w:rsidRPr="005756A6">
        <w:rPr>
          <w:rFonts w:ascii="Garamond" w:hAnsi="Garamond" w:cs="Times New Roman"/>
          <w:sz w:val="24"/>
          <w:szCs w:val="24"/>
        </w:rPr>
        <w:t xml:space="preserve"> and a</w:t>
      </w:r>
      <w:r w:rsidR="002E2015" w:rsidRPr="005756A6">
        <w:rPr>
          <w:rFonts w:ascii="Garamond" w:hAnsi="Garamond" w:cs="Times New Roman"/>
          <w:sz w:val="24"/>
          <w:szCs w:val="24"/>
        </w:rPr>
        <w:t xml:space="preserve"> +1.0 p</w:t>
      </w:r>
      <w:r w:rsidR="00E021F7" w:rsidRPr="005756A6">
        <w:rPr>
          <w:rFonts w:ascii="Garamond" w:hAnsi="Garamond" w:cs="Times New Roman"/>
          <w:sz w:val="24"/>
          <w:szCs w:val="24"/>
        </w:rPr>
        <w:t xml:space="preserve">oint increase in </w:t>
      </w:r>
      <w:r w:rsidR="00274F5A" w:rsidRPr="005756A6">
        <w:rPr>
          <w:rFonts w:ascii="Garamond" w:hAnsi="Garamond" w:cs="Times New Roman"/>
          <w:sz w:val="24"/>
          <w:szCs w:val="24"/>
        </w:rPr>
        <w:t xml:space="preserve">turnout. </w:t>
      </w:r>
      <w:r w:rsidRPr="005756A6">
        <w:rPr>
          <w:rFonts w:ascii="Garamond" w:hAnsi="Garamond" w:cs="Times New Roman"/>
          <w:sz w:val="24"/>
          <w:szCs w:val="24"/>
        </w:rPr>
        <w:t>By contrast, t</w:t>
      </w:r>
      <w:r w:rsidR="003971B6" w:rsidRPr="005756A6">
        <w:rPr>
          <w:rFonts w:ascii="Garamond" w:hAnsi="Garamond" w:cs="Times New Roman"/>
          <w:sz w:val="24"/>
          <w:szCs w:val="24"/>
        </w:rPr>
        <w:t>raditional c</w:t>
      </w:r>
      <w:r w:rsidR="002500FB" w:rsidRPr="005756A6">
        <w:rPr>
          <w:rFonts w:ascii="Garamond" w:hAnsi="Garamond" w:cs="Times New Roman"/>
          <w:sz w:val="24"/>
          <w:szCs w:val="24"/>
        </w:rPr>
        <w:t xml:space="preserve">able television is </w:t>
      </w:r>
      <w:r w:rsidR="00E021F7" w:rsidRPr="005756A6">
        <w:rPr>
          <w:rFonts w:ascii="Garamond" w:hAnsi="Garamond" w:cs="Times New Roman"/>
          <w:sz w:val="24"/>
          <w:szCs w:val="24"/>
        </w:rPr>
        <w:t>slightly less cost effective, with $100,000 producing a +3.</w:t>
      </w:r>
      <w:r w:rsidR="002E2015" w:rsidRPr="005756A6">
        <w:rPr>
          <w:rFonts w:ascii="Garamond" w:hAnsi="Garamond" w:cs="Times New Roman"/>
          <w:sz w:val="24"/>
          <w:szCs w:val="24"/>
        </w:rPr>
        <w:t>4</w:t>
      </w:r>
      <w:r w:rsidR="00E021F7" w:rsidRPr="005756A6">
        <w:rPr>
          <w:rFonts w:ascii="Garamond" w:hAnsi="Garamond" w:cs="Times New Roman"/>
          <w:sz w:val="24"/>
          <w:szCs w:val="24"/>
        </w:rPr>
        <w:t xml:space="preserve"> point bump in favorability and a +</w:t>
      </w:r>
      <w:r w:rsidR="002E2015" w:rsidRPr="005756A6">
        <w:rPr>
          <w:rFonts w:ascii="Garamond" w:hAnsi="Garamond" w:cs="Times New Roman"/>
          <w:sz w:val="24"/>
          <w:szCs w:val="24"/>
        </w:rPr>
        <w:t>0.3</w:t>
      </w:r>
      <w:r w:rsidR="00E021F7" w:rsidRPr="005756A6">
        <w:rPr>
          <w:rFonts w:ascii="Garamond" w:hAnsi="Garamond" w:cs="Times New Roman"/>
          <w:sz w:val="24"/>
          <w:szCs w:val="24"/>
        </w:rPr>
        <w:t xml:space="preserve"> increase in turnout. </w:t>
      </w:r>
      <w:r w:rsidR="002D1F74" w:rsidRPr="005756A6">
        <w:rPr>
          <w:rFonts w:ascii="Garamond" w:hAnsi="Garamond" w:cs="Times New Roman"/>
          <w:sz w:val="24"/>
          <w:szCs w:val="24"/>
        </w:rPr>
        <w:t xml:space="preserve">The story for radio is more straightforward: </w:t>
      </w:r>
      <w:r w:rsidR="001202E5" w:rsidRPr="005756A6">
        <w:rPr>
          <w:rFonts w:ascii="Garamond" w:hAnsi="Garamond" w:cs="Times New Roman"/>
          <w:sz w:val="24"/>
          <w:szCs w:val="24"/>
        </w:rPr>
        <w:t xml:space="preserve">a $100,000 investment in radio </w:t>
      </w:r>
      <w:r w:rsidR="00FE2C1C" w:rsidRPr="005756A6">
        <w:rPr>
          <w:rFonts w:ascii="Garamond" w:hAnsi="Garamond" w:cs="Times New Roman"/>
          <w:sz w:val="24"/>
          <w:szCs w:val="24"/>
        </w:rPr>
        <w:t xml:space="preserve">substantially </w:t>
      </w:r>
      <w:r w:rsidR="001202E5" w:rsidRPr="005756A6">
        <w:rPr>
          <w:rFonts w:ascii="Garamond" w:hAnsi="Garamond" w:cs="Times New Roman"/>
          <w:sz w:val="24"/>
          <w:szCs w:val="24"/>
        </w:rPr>
        <w:t>boosts favorability (+6.5</w:t>
      </w:r>
      <w:r w:rsidR="000E0334" w:rsidRPr="005756A6">
        <w:rPr>
          <w:rFonts w:ascii="Garamond" w:hAnsi="Garamond" w:cs="Times New Roman"/>
          <w:sz w:val="24"/>
          <w:szCs w:val="24"/>
        </w:rPr>
        <w:t xml:space="preserve"> points) </w:t>
      </w:r>
      <w:r w:rsidR="00BE7CAD" w:rsidRPr="005756A6">
        <w:rPr>
          <w:rFonts w:ascii="Garamond" w:hAnsi="Garamond" w:cs="Times New Roman"/>
          <w:sz w:val="24"/>
          <w:szCs w:val="24"/>
        </w:rPr>
        <w:t xml:space="preserve">and turnout (+1.9 points). </w:t>
      </w:r>
      <w:r w:rsidR="0056022A" w:rsidRPr="005756A6">
        <w:rPr>
          <w:rFonts w:ascii="Garamond" w:hAnsi="Garamond" w:cs="Times New Roman"/>
          <w:sz w:val="24"/>
          <w:szCs w:val="24"/>
        </w:rPr>
        <w:t>On the other side of the ledger</w:t>
      </w:r>
      <w:r w:rsidR="006D5E66" w:rsidRPr="005756A6">
        <w:rPr>
          <w:rFonts w:ascii="Garamond" w:hAnsi="Garamond" w:cs="Times New Roman"/>
          <w:sz w:val="24"/>
          <w:szCs w:val="24"/>
        </w:rPr>
        <w:t>, d</w:t>
      </w:r>
      <w:r w:rsidR="002B0EE4" w:rsidRPr="005756A6">
        <w:rPr>
          <w:rFonts w:ascii="Garamond" w:hAnsi="Garamond" w:cs="Times New Roman"/>
          <w:sz w:val="24"/>
          <w:szCs w:val="24"/>
        </w:rPr>
        <w:t xml:space="preserve">espite </w:t>
      </w:r>
      <w:r w:rsidR="0056022A" w:rsidRPr="005756A6">
        <w:rPr>
          <w:rFonts w:ascii="Garamond" w:hAnsi="Garamond" w:cs="Times New Roman"/>
          <w:sz w:val="24"/>
          <w:szCs w:val="24"/>
        </w:rPr>
        <w:t>being inexpensive</w:t>
      </w:r>
      <w:r w:rsidR="002B0EE4" w:rsidRPr="005756A6">
        <w:rPr>
          <w:rFonts w:ascii="Garamond" w:hAnsi="Garamond" w:cs="Times New Roman"/>
          <w:sz w:val="24"/>
          <w:szCs w:val="24"/>
        </w:rPr>
        <w:t xml:space="preserve">, mail does not end up being </w:t>
      </w:r>
      <w:r w:rsidR="0056022A" w:rsidRPr="005756A6">
        <w:rPr>
          <w:rFonts w:ascii="Garamond" w:hAnsi="Garamond" w:cs="Times New Roman"/>
          <w:sz w:val="24"/>
          <w:szCs w:val="24"/>
        </w:rPr>
        <w:t xml:space="preserve">notably </w:t>
      </w:r>
      <w:r w:rsidR="002B0EE4" w:rsidRPr="005756A6">
        <w:rPr>
          <w:rFonts w:ascii="Garamond" w:hAnsi="Garamond" w:cs="Times New Roman"/>
          <w:sz w:val="24"/>
          <w:szCs w:val="24"/>
        </w:rPr>
        <w:t xml:space="preserve">cost-effective. A $100,000 </w:t>
      </w:r>
      <w:r w:rsidR="00457DDB" w:rsidRPr="005756A6">
        <w:rPr>
          <w:rFonts w:ascii="Garamond" w:hAnsi="Garamond" w:cs="Times New Roman"/>
          <w:sz w:val="24"/>
          <w:szCs w:val="24"/>
        </w:rPr>
        <w:t>investment in</w:t>
      </w:r>
      <w:r w:rsidR="0056022A" w:rsidRPr="005756A6">
        <w:rPr>
          <w:rFonts w:ascii="Garamond" w:hAnsi="Garamond" w:cs="Times New Roman"/>
          <w:sz w:val="24"/>
          <w:szCs w:val="24"/>
        </w:rPr>
        <w:t xml:space="preserve"> direct mail produces </w:t>
      </w:r>
      <w:r w:rsidR="00960630" w:rsidRPr="005756A6">
        <w:rPr>
          <w:rFonts w:ascii="Garamond" w:hAnsi="Garamond" w:cs="Times New Roman"/>
          <w:sz w:val="24"/>
          <w:szCs w:val="24"/>
        </w:rPr>
        <w:t>modest</w:t>
      </w:r>
      <w:r w:rsidR="002B0EE4" w:rsidRPr="005756A6">
        <w:rPr>
          <w:rFonts w:ascii="Garamond" w:hAnsi="Garamond" w:cs="Times New Roman"/>
          <w:sz w:val="24"/>
          <w:szCs w:val="24"/>
        </w:rPr>
        <w:t xml:space="preserve"> increases in favorability and turnout.</w:t>
      </w:r>
      <w:r w:rsidR="0056022A" w:rsidRPr="005756A6">
        <w:rPr>
          <w:rFonts w:ascii="Garamond" w:hAnsi="Garamond" w:cs="Times New Roman"/>
          <w:sz w:val="24"/>
          <w:szCs w:val="24"/>
        </w:rPr>
        <w:t xml:space="preserve"> </w:t>
      </w:r>
    </w:p>
    <w:p w14:paraId="7A73A619" w14:textId="77777777" w:rsidR="00164C21" w:rsidRPr="005756A6" w:rsidRDefault="00164C21" w:rsidP="002D6C93">
      <w:pPr>
        <w:spacing w:after="0" w:line="480" w:lineRule="auto"/>
        <w:rPr>
          <w:rFonts w:ascii="Garamond" w:hAnsi="Garamond" w:cs="Times New Roman"/>
          <w:sz w:val="24"/>
          <w:szCs w:val="24"/>
        </w:rPr>
      </w:pPr>
    </w:p>
    <w:p w14:paraId="41B81959" w14:textId="77777777" w:rsidR="00164C21" w:rsidRPr="005756A6" w:rsidRDefault="0003191E" w:rsidP="00707E13">
      <w:pPr>
        <w:spacing w:after="0" w:line="480" w:lineRule="auto"/>
        <w:rPr>
          <w:rFonts w:ascii="Garamond" w:hAnsi="Garamond" w:cs="Times New Roman"/>
          <w:b/>
          <w:sz w:val="24"/>
          <w:szCs w:val="24"/>
        </w:rPr>
      </w:pPr>
      <w:r w:rsidRPr="005756A6">
        <w:rPr>
          <w:rFonts w:ascii="Garamond" w:hAnsi="Garamond" w:cs="Times New Roman"/>
          <w:b/>
          <w:sz w:val="24"/>
          <w:szCs w:val="24"/>
        </w:rPr>
        <w:t>Conclusion</w:t>
      </w:r>
    </w:p>
    <w:p w14:paraId="4EB1465F" w14:textId="7590981F" w:rsidR="002B0EE4" w:rsidRPr="005756A6" w:rsidRDefault="00CA19FE" w:rsidP="002D6C93">
      <w:pPr>
        <w:spacing w:after="0" w:line="480" w:lineRule="auto"/>
        <w:ind w:firstLine="720"/>
        <w:rPr>
          <w:rFonts w:ascii="Garamond" w:hAnsi="Garamond" w:cs="Times New Roman"/>
          <w:sz w:val="24"/>
          <w:szCs w:val="24"/>
        </w:rPr>
      </w:pPr>
      <w:r w:rsidRPr="005756A6">
        <w:rPr>
          <w:rFonts w:ascii="Garamond" w:hAnsi="Garamond" w:cs="Times New Roman"/>
          <w:sz w:val="24"/>
          <w:szCs w:val="24"/>
        </w:rPr>
        <w:t xml:space="preserve">The end-game for any analysis of campaign effects is a statement about whether or not the campaign mattered for the election. </w:t>
      </w:r>
      <w:r w:rsidR="006D5E66" w:rsidRPr="005756A6">
        <w:rPr>
          <w:rFonts w:ascii="Garamond" w:hAnsi="Garamond" w:cs="Times New Roman"/>
          <w:sz w:val="24"/>
          <w:szCs w:val="24"/>
        </w:rPr>
        <w:t xml:space="preserve">These data </w:t>
      </w:r>
      <w:r w:rsidR="00EB1348" w:rsidRPr="005756A6">
        <w:rPr>
          <w:rFonts w:ascii="Garamond" w:hAnsi="Garamond" w:cs="Times New Roman"/>
          <w:sz w:val="24"/>
          <w:szCs w:val="24"/>
        </w:rPr>
        <w:t>indicate that Abbott’s campaign had a</w:t>
      </w:r>
      <w:r w:rsidR="007C7B61" w:rsidRPr="005756A6">
        <w:rPr>
          <w:rFonts w:ascii="Garamond" w:hAnsi="Garamond" w:cs="Times New Roman"/>
          <w:sz w:val="24"/>
          <w:szCs w:val="24"/>
        </w:rPr>
        <w:t xml:space="preserve"> significant </w:t>
      </w:r>
      <w:r w:rsidR="00EB1348" w:rsidRPr="005756A6">
        <w:rPr>
          <w:rFonts w:ascii="Garamond" w:hAnsi="Garamond" w:cs="Times New Roman"/>
          <w:sz w:val="24"/>
          <w:szCs w:val="24"/>
        </w:rPr>
        <w:t>overall impact. His net favorability improved by five points over the c</w:t>
      </w:r>
      <w:r w:rsidR="00E1596F" w:rsidRPr="005756A6">
        <w:rPr>
          <w:rFonts w:ascii="Garamond" w:hAnsi="Garamond" w:cs="Times New Roman"/>
          <w:sz w:val="24"/>
          <w:szCs w:val="24"/>
        </w:rPr>
        <w:t>ampaign</w:t>
      </w:r>
      <w:r w:rsidR="00A6461F" w:rsidRPr="005756A6">
        <w:rPr>
          <w:rFonts w:ascii="Garamond" w:hAnsi="Garamond" w:cs="Times New Roman"/>
          <w:sz w:val="24"/>
          <w:szCs w:val="24"/>
        </w:rPr>
        <w:t xml:space="preserve">, and </w:t>
      </w:r>
      <w:r w:rsidR="000B2113" w:rsidRPr="005756A6">
        <w:rPr>
          <w:rFonts w:ascii="Garamond" w:hAnsi="Garamond" w:cs="Times New Roman"/>
          <w:sz w:val="24"/>
          <w:szCs w:val="24"/>
        </w:rPr>
        <w:t xml:space="preserve">it improved by </w:t>
      </w:r>
      <w:r w:rsidR="001B3D7C" w:rsidRPr="005756A6">
        <w:rPr>
          <w:rFonts w:ascii="Garamond" w:hAnsi="Garamond" w:cs="Times New Roman"/>
          <w:sz w:val="24"/>
          <w:szCs w:val="24"/>
        </w:rPr>
        <w:t>nearly eight p</w:t>
      </w:r>
      <w:r w:rsidR="00A6461F" w:rsidRPr="005756A6">
        <w:rPr>
          <w:rFonts w:ascii="Garamond" w:hAnsi="Garamond" w:cs="Times New Roman"/>
          <w:sz w:val="24"/>
          <w:szCs w:val="24"/>
        </w:rPr>
        <w:t>oint</w:t>
      </w:r>
      <w:r w:rsidR="000B2113" w:rsidRPr="005756A6">
        <w:rPr>
          <w:rFonts w:ascii="Garamond" w:hAnsi="Garamond" w:cs="Times New Roman"/>
          <w:sz w:val="24"/>
          <w:szCs w:val="24"/>
        </w:rPr>
        <w:t>s in the treatment markets.</w:t>
      </w:r>
      <w:r w:rsidR="00A6461F" w:rsidRPr="005756A6">
        <w:rPr>
          <w:rFonts w:ascii="Garamond" w:hAnsi="Garamond" w:cs="Times New Roman"/>
          <w:sz w:val="24"/>
          <w:szCs w:val="24"/>
        </w:rPr>
        <w:t xml:space="preserve"> </w:t>
      </w:r>
      <w:r w:rsidR="00B73D48" w:rsidRPr="005756A6">
        <w:rPr>
          <w:rFonts w:ascii="Garamond" w:hAnsi="Garamond" w:cs="Times New Roman"/>
          <w:sz w:val="24"/>
          <w:szCs w:val="24"/>
        </w:rPr>
        <w:t xml:space="preserve"> </w:t>
      </w:r>
    </w:p>
    <w:p w14:paraId="4D2D005C" w14:textId="77777777" w:rsidR="00C24C4B" w:rsidRDefault="00AC5593" w:rsidP="002D6C93">
      <w:pPr>
        <w:spacing w:after="0" w:line="480" w:lineRule="auto"/>
        <w:ind w:firstLine="720"/>
        <w:rPr>
          <w:rFonts w:ascii="Garamond" w:hAnsi="Garamond" w:cs="Times New Roman"/>
          <w:sz w:val="24"/>
          <w:szCs w:val="24"/>
        </w:rPr>
      </w:pPr>
      <w:r w:rsidRPr="005756A6">
        <w:rPr>
          <w:rFonts w:ascii="Garamond" w:hAnsi="Garamond" w:cs="Times New Roman"/>
          <w:sz w:val="24"/>
          <w:szCs w:val="24"/>
        </w:rPr>
        <w:t>We also</w:t>
      </w:r>
      <w:r w:rsidR="00A97ADD" w:rsidRPr="005756A6">
        <w:rPr>
          <w:rFonts w:ascii="Garamond" w:hAnsi="Garamond" w:cs="Times New Roman"/>
          <w:sz w:val="24"/>
          <w:szCs w:val="24"/>
        </w:rPr>
        <w:t xml:space="preserve"> have instructive data about the relative effectiveness of several different modes of outreach.</w:t>
      </w:r>
      <w:r w:rsidR="00EB1348" w:rsidRPr="005756A6">
        <w:rPr>
          <w:rFonts w:ascii="Garamond" w:hAnsi="Garamond" w:cs="Times New Roman"/>
          <w:sz w:val="24"/>
          <w:szCs w:val="24"/>
        </w:rPr>
        <w:t xml:space="preserve"> </w:t>
      </w:r>
      <w:r w:rsidRPr="005756A6">
        <w:rPr>
          <w:rFonts w:ascii="Garamond" w:hAnsi="Garamond" w:cs="Times New Roman"/>
          <w:sz w:val="24"/>
          <w:szCs w:val="24"/>
        </w:rPr>
        <w:t xml:space="preserve">Perhaps most notably, targeted </w:t>
      </w:r>
      <w:r w:rsidR="00274EE6" w:rsidRPr="005756A6">
        <w:rPr>
          <w:rFonts w:ascii="Garamond" w:hAnsi="Garamond" w:cs="Times New Roman"/>
          <w:sz w:val="24"/>
          <w:szCs w:val="24"/>
        </w:rPr>
        <w:t xml:space="preserve">broadcast </w:t>
      </w:r>
      <w:r w:rsidR="002D2679">
        <w:rPr>
          <w:rFonts w:ascii="Garamond" w:hAnsi="Garamond" w:cs="Times New Roman"/>
          <w:sz w:val="24"/>
          <w:szCs w:val="24"/>
        </w:rPr>
        <w:t>TV</w:t>
      </w:r>
      <w:r w:rsidR="00274EE6" w:rsidRPr="005756A6">
        <w:rPr>
          <w:rFonts w:ascii="Garamond" w:hAnsi="Garamond" w:cs="Times New Roman"/>
          <w:sz w:val="24"/>
          <w:szCs w:val="24"/>
        </w:rPr>
        <w:t xml:space="preserve"> advertising </w:t>
      </w:r>
      <w:r w:rsidRPr="005756A6">
        <w:rPr>
          <w:rFonts w:ascii="Garamond" w:hAnsi="Garamond" w:cs="Times New Roman"/>
          <w:sz w:val="24"/>
          <w:szCs w:val="24"/>
        </w:rPr>
        <w:t>significantly increase</w:t>
      </w:r>
      <w:r w:rsidR="000B2113" w:rsidRPr="005756A6">
        <w:rPr>
          <w:rFonts w:ascii="Garamond" w:hAnsi="Garamond" w:cs="Times New Roman"/>
          <w:sz w:val="24"/>
          <w:szCs w:val="24"/>
        </w:rPr>
        <w:t>d</w:t>
      </w:r>
      <w:r w:rsidRPr="005756A6">
        <w:rPr>
          <w:rFonts w:ascii="Garamond" w:hAnsi="Garamond" w:cs="Times New Roman"/>
          <w:sz w:val="24"/>
          <w:szCs w:val="24"/>
        </w:rPr>
        <w:t xml:space="preserve"> </w:t>
      </w:r>
      <w:r w:rsidR="00821FB1" w:rsidRPr="005756A6">
        <w:rPr>
          <w:rFonts w:ascii="Garamond" w:hAnsi="Garamond" w:cs="Times New Roman"/>
          <w:sz w:val="24"/>
          <w:szCs w:val="24"/>
        </w:rPr>
        <w:t xml:space="preserve">Abbott’s </w:t>
      </w:r>
      <w:r w:rsidR="00B47241" w:rsidRPr="005756A6">
        <w:rPr>
          <w:rFonts w:ascii="Garamond" w:hAnsi="Garamond" w:cs="Times New Roman"/>
          <w:sz w:val="24"/>
          <w:szCs w:val="24"/>
        </w:rPr>
        <w:t>favorability</w:t>
      </w:r>
      <w:r w:rsidR="00821FB1" w:rsidRPr="005756A6">
        <w:rPr>
          <w:rFonts w:ascii="Garamond" w:hAnsi="Garamond" w:cs="Times New Roman"/>
          <w:sz w:val="24"/>
          <w:szCs w:val="24"/>
        </w:rPr>
        <w:t>,</w:t>
      </w:r>
      <w:r w:rsidR="00B47241" w:rsidRPr="005756A6">
        <w:rPr>
          <w:rFonts w:ascii="Garamond" w:hAnsi="Garamond" w:cs="Times New Roman"/>
          <w:sz w:val="24"/>
          <w:szCs w:val="24"/>
        </w:rPr>
        <w:t xml:space="preserve"> as well as </w:t>
      </w:r>
      <w:r w:rsidR="00821FB1" w:rsidRPr="005756A6">
        <w:rPr>
          <w:rFonts w:ascii="Garamond" w:hAnsi="Garamond" w:cs="Times New Roman"/>
          <w:sz w:val="24"/>
          <w:szCs w:val="24"/>
        </w:rPr>
        <w:t>Republican primary t</w:t>
      </w:r>
      <w:r w:rsidR="00B47241" w:rsidRPr="005756A6">
        <w:rPr>
          <w:rFonts w:ascii="Garamond" w:hAnsi="Garamond" w:cs="Times New Roman"/>
          <w:sz w:val="24"/>
          <w:szCs w:val="24"/>
        </w:rPr>
        <w:t xml:space="preserve">urnout. In addition, </w:t>
      </w:r>
      <w:r w:rsidR="00854C50" w:rsidRPr="005756A6">
        <w:rPr>
          <w:rFonts w:ascii="Garamond" w:hAnsi="Garamond" w:cs="Times New Roman"/>
          <w:sz w:val="24"/>
          <w:szCs w:val="24"/>
        </w:rPr>
        <w:t xml:space="preserve">cable </w:t>
      </w:r>
      <w:r w:rsidR="002D2679">
        <w:rPr>
          <w:rFonts w:ascii="Garamond" w:hAnsi="Garamond" w:cs="Times New Roman"/>
          <w:sz w:val="24"/>
          <w:szCs w:val="24"/>
        </w:rPr>
        <w:t>TV</w:t>
      </w:r>
      <w:r w:rsidR="00854C50" w:rsidRPr="005756A6">
        <w:rPr>
          <w:rFonts w:ascii="Garamond" w:hAnsi="Garamond" w:cs="Times New Roman"/>
          <w:sz w:val="24"/>
          <w:szCs w:val="24"/>
        </w:rPr>
        <w:t xml:space="preserve"> and radio ha</w:t>
      </w:r>
      <w:r w:rsidR="000B2113" w:rsidRPr="005756A6">
        <w:rPr>
          <w:rFonts w:ascii="Garamond" w:hAnsi="Garamond" w:cs="Times New Roman"/>
          <w:sz w:val="24"/>
          <w:szCs w:val="24"/>
        </w:rPr>
        <w:t>d</w:t>
      </w:r>
      <w:r w:rsidR="00854C50" w:rsidRPr="005756A6">
        <w:rPr>
          <w:rFonts w:ascii="Garamond" w:hAnsi="Garamond" w:cs="Times New Roman"/>
          <w:sz w:val="24"/>
          <w:szCs w:val="24"/>
        </w:rPr>
        <w:t xml:space="preserve"> substantial</w:t>
      </w:r>
      <w:r w:rsidR="00B47241" w:rsidRPr="005756A6">
        <w:rPr>
          <w:rFonts w:ascii="Garamond" w:hAnsi="Garamond" w:cs="Times New Roman"/>
          <w:sz w:val="24"/>
          <w:szCs w:val="24"/>
        </w:rPr>
        <w:t xml:space="preserve"> </w:t>
      </w:r>
      <w:r w:rsidR="00F660F2" w:rsidRPr="005756A6">
        <w:rPr>
          <w:rFonts w:ascii="Garamond" w:hAnsi="Garamond" w:cs="Times New Roman"/>
          <w:sz w:val="24"/>
          <w:szCs w:val="24"/>
        </w:rPr>
        <w:t>effects</w:t>
      </w:r>
      <w:r w:rsidR="00C24C4B">
        <w:rPr>
          <w:rFonts w:ascii="Garamond" w:hAnsi="Garamond" w:cs="Times New Roman"/>
          <w:sz w:val="24"/>
          <w:szCs w:val="24"/>
        </w:rPr>
        <w:t>, while the impact of o</w:t>
      </w:r>
      <w:r w:rsidR="00544DCF" w:rsidRPr="005756A6">
        <w:rPr>
          <w:rFonts w:ascii="Garamond" w:hAnsi="Garamond" w:cs="Times New Roman"/>
          <w:sz w:val="24"/>
          <w:szCs w:val="24"/>
        </w:rPr>
        <w:t>nline advertising for both favorability and turnout varie</w:t>
      </w:r>
      <w:r w:rsidR="000B2113" w:rsidRPr="005756A6">
        <w:rPr>
          <w:rFonts w:ascii="Garamond" w:hAnsi="Garamond" w:cs="Times New Roman"/>
          <w:sz w:val="24"/>
          <w:szCs w:val="24"/>
        </w:rPr>
        <w:t>d</w:t>
      </w:r>
      <w:r w:rsidR="00544DCF" w:rsidRPr="005756A6">
        <w:rPr>
          <w:rFonts w:ascii="Garamond" w:hAnsi="Garamond" w:cs="Times New Roman"/>
          <w:sz w:val="24"/>
          <w:szCs w:val="24"/>
        </w:rPr>
        <w:t xml:space="preserve"> by mode.</w:t>
      </w:r>
    </w:p>
    <w:p w14:paraId="5E7AEEB6" w14:textId="6A312888" w:rsidR="00D40141" w:rsidRDefault="003D75A1" w:rsidP="002D6C93">
      <w:pPr>
        <w:spacing w:after="0" w:line="480" w:lineRule="auto"/>
        <w:ind w:firstLine="720"/>
        <w:rPr>
          <w:rFonts w:ascii="Garamond" w:hAnsi="Garamond" w:cs="Times New Roman"/>
          <w:sz w:val="24"/>
          <w:szCs w:val="24"/>
        </w:rPr>
      </w:pPr>
      <w:r>
        <w:rPr>
          <w:rFonts w:ascii="Garamond" w:hAnsi="Garamond" w:cs="Times New Roman"/>
          <w:sz w:val="24"/>
          <w:szCs w:val="24"/>
        </w:rPr>
        <w:t xml:space="preserve">An even more distinctive finding from this project is that </w:t>
      </w:r>
      <w:r w:rsidR="00C24C4B">
        <w:rPr>
          <w:rFonts w:ascii="Garamond" w:hAnsi="Garamond" w:cs="Times New Roman"/>
          <w:sz w:val="24"/>
          <w:szCs w:val="24"/>
        </w:rPr>
        <w:t xml:space="preserve">the synergistic effects of different campaign modes </w:t>
      </w:r>
      <w:r>
        <w:rPr>
          <w:rFonts w:ascii="Garamond" w:hAnsi="Garamond" w:cs="Times New Roman"/>
          <w:sz w:val="24"/>
          <w:szCs w:val="24"/>
        </w:rPr>
        <w:t xml:space="preserve">are occasionally substantial. Specifically, </w:t>
      </w:r>
      <w:r w:rsidR="00D40141">
        <w:rPr>
          <w:rFonts w:ascii="Garamond" w:hAnsi="Garamond" w:cs="Times New Roman"/>
          <w:sz w:val="24"/>
          <w:szCs w:val="24"/>
        </w:rPr>
        <w:t xml:space="preserve">we find that </w:t>
      </w:r>
      <w:r w:rsidR="00C809D9">
        <w:rPr>
          <w:rFonts w:ascii="Garamond" w:hAnsi="Garamond" w:cs="Times New Roman"/>
          <w:sz w:val="24"/>
          <w:szCs w:val="24"/>
        </w:rPr>
        <w:t xml:space="preserve">the combination of radio, cable, and broadcast TV </w:t>
      </w:r>
      <w:r w:rsidR="00D40141">
        <w:rPr>
          <w:rFonts w:ascii="Garamond" w:hAnsi="Garamond" w:cs="Times New Roman"/>
          <w:sz w:val="24"/>
          <w:szCs w:val="24"/>
        </w:rPr>
        <w:t>move</w:t>
      </w:r>
      <w:r w:rsidR="00654ABC">
        <w:rPr>
          <w:rFonts w:ascii="Garamond" w:hAnsi="Garamond" w:cs="Times New Roman"/>
          <w:sz w:val="24"/>
          <w:szCs w:val="24"/>
        </w:rPr>
        <w:t>d</w:t>
      </w:r>
      <w:r w:rsidR="00D40141">
        <w:rPr>
          <w:rFonts w:ascii="Garamond" w:hAnsi="Garamond" w:cs="Times New Roman"/>
          <w:sz w:val="24"/>
          <w:szCs w:val="24"/>
        </w:rPr>
        <w:t xml:space="preserve"> both candidate favorability and turnout</w:t>
      </w:r>
      <w:r w:rsidR="00C809D9">
        <w:rPr>
          <w:rFonts w:ascii="Garamond" w:hAnsi="Garamond" w:cs="Times New Roman"/>
          <w:sz w:val="24"/>
          <w:szCs w:val="24"/>
        </w:rPr>
        <w:t xml:space="preserve">, and that pairing Internet </w:t>
      </w:r>
      <w:r w:rsidR="00C809D9">
        <w:rPr>
          <w:rFonts w:ascii="Garamond" w:hAnsi="Garamond" w:cs="Times New Roman"/>
          <w:sz w:val="24"/>
          <w:szCs w:val="24"/>
        </w:rPr>
        <w:lastRenderedPageBreak/>
        <w:t xml:space="preserve">and pre-roll advertising </w:t>
      </w:r>
      <w:r w:rsidR="00D40141">
        <w:rPr>
          <w:rFonts w:ascii="Garamond" w:hAnsi="Garamond" w:cs="Times New Roman"/>
          <w:sz w:val="24"/>
          <w:szCs w:val="24"/>
        </w:rPr>
        <w:t xml:space="preserve">may be </w:t>
      </w:r>
      <w:r w:rsidR="00C809D9">
        <w:rPr>
          <w:rFonts w:ascii="Garamond" w:hAnsi="Garamond" w:cs="Times New Roman"/>
          <w:sz w:val="24"/>
          <w:szCs w:val="24"/>
        </w:rPr>
        <w:t xml:space="preserve">the best combination of digital outreach. </w:t>
      </w:r>
      <w:r w:rsidR="00D40141">
        <w:rPr>
          <w:rFonts w:ascii="Garamond" w:hAnsi="Garamond" w:cs="Times New Roman"/>
          <w:sz w:val="24"/>
          <w:szCs w:val="24"/>
        </w:rPr>
        <w:t xml:space="preserve">To our knowledge, no previous study has explored the synergy between and amongst campaign modes as this one has. </w:t>
      </w:r>
    </w:p>
    <w:p w14:paraId="01E57897" w14:textId="7D0857FC" w:rsidR="009E7480" w:rsidRPr="005756A6" w:rsidRDefault="00654ABC" w:rsidP="002D6C93">
      <w:pPr>
        <w:spacing w:after="0" w:line="480" w:lineRule="auto"/>
        <w:ind w:firstLine="720"/>
        <w:rPr>
          <w:rFonts w:ascii="Garamond" w:hAnsi="Garamond" w:cs="Times New Roman"/>
          <w:sz w:val="24"/>
          <w:szCs w:val="24"/>
        </w:rPr>
      </w:pPr>
      <w:r>
        <w:rPr>
          <w:rFonts w:ascii="Garamond" w:hAnsi="Garamond" w:cs="Times New Roman"/>
          <w:sz w:val="24"/>
          <w:szCs w:val="24"/>
        </w:rPr>
        <w:t xml:space="preserve">Finally, we </w:t>
      </w:r>
      <w:r w:rsidR="00D40141">
        <w:rPr>
          <w:rFonts w:ascii="Garamond" w:hAnsi="Garamond" w:cs="Times New Roman"/>
          <w:sz w:val="24"/>
          <w:szCs w:val="24"/>
        </w:rPr>
        <w:t>put our findings into context by considering the effectiveness of different campaign modes by their respective costs. From this pers</w:t>
      </w:r>
      <w:r>
        <w:rPr>
          <w:rFonts w:ascii="Garamond" w:hAnsi="Garamond" w:cs="Times New Roman"/>
          <w:sz w:val="24"/>
          <w:szCs w:val="24"/>
        </w:rPr>
        <w:t>pect</w:t>
      </w:r>
      <w:r w:rsidR="00D40141">
        <w:rPr>
          <w:rFonts w:ascii="Garamond" w:hAnsi="Garamond" w:cs="Times New Roman"/>
          <w:sz w:val="24"/>
          <w:szCs w:val="24"/>
        </w:rPr>
        <w:t xml:space="preserve">ive, </w:t>
      </w:r>
      <w:r>
        <w:rPr>
          <w:rFonts w:ascii="Garamond" w:hAnsi="Garamond" w:cs="Times New Roman"/>
          <w:sz w:val="24"/>
          <w:szCs w:val="24"/>
        </w:rPr>
        <w:t>o</w:t>
      </w:r>
      <w:r w:rsidR="00C809D9">
        <w:rPr>
          <w:rFonts w:ascii="Garamond" w:hAnsi="Garamond" w:cs="Times New Roman"/>
          <w:sz w:val="24"/>
          <w:szCs w:val="24"/>
        </w:rPr>
        <w:t xml:space="preserve">nline </w:t>
      </w:r>
      <w:r>
        <w:rPr>
          <w:rFonts w:ascii="Garamond" w:hAnsi="Garamond" w:cs="Times New Roman"/>
          <w:sz w:val="24"/>
          <w:szCs w:val="24"/>
        </w:rPr>
        <w:t>a</w:t>
      </w:r>
      <w:r w:rsidR="00C809D9">
        <w:rPr>
          <w:rFonts w:ascii="Garamond" w:hAnsi="Garamond" w:cs="Times New Roman"/>
          <w:sz w:val="24"/>
          <w:szCs w:val="24"/>
        </w:rPr>
        <w:t xml:space="preserve">dvertising effects </w:t>
      </w:r>
      <w:r w:rsidR="003D75A1">
        <w:rPr>
          <w:rFonts w:ascii="Garamond" w:hAnsi="Garamond" w:cs="Times New Roman"/>
          <w:sz w:val="24"/>
          <w:szCs w:val="24"/>
        </w:rPr>
        <w:t xml:space="preserve">may be comparable to those we find for broadcast advertising </w:t>
      </w:r>
      <w:r>
        <w:rPr>
          <w:rFonts w:ascii="Garamond" w:hAnsi="Garamond" w:cs="Times New Roman"/>
          <w:sz w:val="24"/>
          <w:szCs w:val="24"/>
        </w:rPr>
        <w:t xml:space="preserve">because digital ads </w:t>
      </w:r>
      <w:r w:rsidR="00FA115A" w:rsidRPr="005756A6">
        <w:rPr>
          <w:rFonts w:ascii="Garamond" w:hAnsi="Garamond" w:cs="Times New Roman"/>
          <w:sz w:val="24"/>
          <w:szCs w:val="24"/>
        </w:rPr>
        <w:t xml:space="preserve">remains decidedly less expensive than </w:t>
      </w:r>
      <w:r>
        <w:rPr>
          <w:rFonts w:ascii="Garamond" w:hAnsi="Garamond" w:cs="Times New Roman"/>
          <w:sz w:val="24"/>
          <w:szCs w:val="24"/>
        </w:rPr>
        <w:t>TV ads</w:t>
      </w:r>
      <w:r w:rsidR="00FA115A" w:rsidRPr="005756A6">
        <w:rPr>
          <w:rFonts w:ascii="Garamond" w:hAnsi="Garamond" w:cs="Times New Roman"/>
          <w:sz w:val="24"/>
          <w:szCs w:val="24"/>
        </w:rPr>
        <w:t xml:space="preserve">.  </w:t>
      </w:r>
    </w:p>
    <w:p w14:paraId="25B6F8B5" w14:textId="0351F3AC" w:rsidR="00F43E83" w:rsidRPr="005756A6" w:rsidRDefault="00B16568" w:rsidP="002D6C93">
      <w:pPr>
        <w:spacing w:after="0" w:line="480" w:lineRule="auto"/>
        <w:ind w:firstLine="720"/>
        <w:rPr>
          <w:rFonts w:ascii="Garamond" w:hAnsi="Garamond" w:cs="Times New Roman"/>
          <w:sz w:val="24"/>
          <w:szCs w:val="24"/>
        </w:rPr>
      </w:pPr>
      <w:r w:rsidRPr="005756A6">
        <w:rPr>
          <w:rFonts w:ascii="Garamond" w:hAnsi="Garamond" w:cs="Times New Roman"/>
          <w:sz w:val="24"/>
          <w:szCs w:val="24"/>
        </w:rPr>
        <w:t>T</w:t>
      </w:r>
      <w:r w:rsidR="005D77DF" w:rsidRPr="005756A6">
        <w:rPr>
          <w:rFonts w:ascii="Garamond" w:hAnsi="Garamond" w:cs="Times New Roman"/>
          <w:sz w:val="24"/>
          <w:szCs w:val="24"/>
        </w:rPr>
        <w:t>here</w:t>
      </w:r>
      <w:r w:rsidR="002478D6" w:rsidRPr="005756A6">
        <w:rPr>
          <w:rFonts w:ascii="Garamond" w:hAnsi="Garamond" w:cs="Times New Roman"/>
          <w:sz w:val="24"/>
          <w:szCs w:val="24"/>
        </w:rPr>
        <w:t xml:space="preserve"> are reasons to be cautious about </w:t>
      </w:r>
      <w:r w:rsidRPr="005756A6">
        <w:rPr>
          <w:rFonts w:ascii="Garamond" w:hAnsi="Garamond" w:cs="Times New Roman"/>
          <w:sz w:val="24"/>
          <w:szCs w:val="24"/>
        </w:rPr>
        <w:t>our</w:t>
      </w:r>
      <w:r w:rsidR="002478D6" w:rsidRPr="005756A6">
        <w:rPr>
          <w:rFonts w:ascii="Garamond" w:hAnsi="Garamond" w:cs="Times New Roman"/>
          <w:sz w:val="24"/>
          <w:szCs w:val="24"/>
        </w:rPr>
        <w:t xml:space="preserve"> </w:t>
      </w:r>
      <w:r w:rsidR="00654ABC">
        <w:rPr>
          <w:rFonts w:ascii="Garamond" w:hAnsi="Garamond" w:cs="Times New Roman"/>
          <w:sz w:val="24"/>
          <w:szCs w:val="24"/>
        </w:rPr>
        <w:t>results</w:t>
      </w:r>
      <w:r w:rsidR="002478D6" w:rsidRPr="005756A6">
        <w:rPr>
          <w:rFonts w:ascii="Garamond" w:hAnsi="Garamond" w:cs="Times New Roman"/>
          <w:sz w:val="24"/>
          <w:szCs w:val="24"/>
        </w:rPr>
        <w:t>.</w:t>
      </w:r>
      <w:r w:rsidR="005D77DF" w:rsidRPr="005756A6">
        <w:rPr>
          <w:rFonts w:ascii="Garamond" w:hAnsi="Garamond" w:cs="Times New Roman"/>
          <w:sz w:val="24"/>
          <w:szCs w:val="24"/>
        </w:rPr>
        <w:t xml:space="preserve"> </w:t>
      </w:r>
      <w:r w:rsidR="00E074C3" w:rsidRPr="005756A6">
        <w:rPr>
          <w:rFonts w:ascii="Garamond" w:hAnsi="Garamond" w:cs="Times New Roman"/>
          <w:sz w:val="24"/>
          <w:szCs w:val="24"/>
        </w:rPr>
        <w:t>M</w:t>
      </w:r>
      <w:r w:rsidR="002478D6" w:rsidRPr="005756A6">
        <w:rPr>
          <w:rFonts w:ascii="Garamond" w:hAnsi="Garamond" w:cs="Times New Roman"/>
          <w:sz w:val="24"/>
          <w:szCs w:val="24"/>
        </w:rPr>
        <w:t xml:space="preserve">ost obviously, </w:t>
      </w:r>
      <w:r w:rsidR="005D77DF" w:rsidRPr="005756A6">
        <w:rPr>
          <w:rFonts w:ascii="Garamond" w:hAnsi="Garamond" w:cs="Times New Roman"/>
          <w:sz w:val="24"/>
          <w:szCs w:val="24"/>
        </w:rPr>
        <w:t xml:space="preserve">the </w:t>
      </w:r>
      <w:r w:rsidR="00F35104" w:rsidRPr="005756A6">
        <w:rPr>
          <w:rFonts w:ascii="Garamond" w:hAnsi="Garamond" w:cs="Times New Roman"/>
          <w:sz w:val="24"/>
          <w:szCs w:val="24"/>
        </w:rPr>
        <w:t>t</w:t>
      </w:r>
      <w:r w:rsidR="00F112D7" w:rsidRPr="005756A6">
        <w:rPr>
          <w:rFonts w:ascii="Garamond" w:hAnsi="Garamond" w:cs="Times New Roman"/>
          <w:sz w:val="24"/>
          <w:szCs w:val="24"/>
        </w:rPr>
        <w:t xml:space="preserve">ests were conducted during a </w:t>
      </w:r>
      <w:r w:rsidR="001E0143" w:rsidRPr="005756A6">
        <w:rPr>
          <w:rFonts w:ascii="Garamond" w:hAnsi="Garamond" w:cs="Times New Roman"/>
          <w:sz w:val="24"/>
          <w:szCs w:val="24"/>
        </w:rPr>
        <w:t xml:space="preserve">minimally </w:t>
      </w:r>
      <w:r w:rsidR="008500B8" w:rsidRPr="005756A6">
        <w:rPr>
          <w:rFonts w:ascii="Garamond" w:hAnsi="Garamond" w:cs="Times New Roman"/>
          <w:sz w:val="24"/>
          <w:szCs w:val="24"/>
        </w:rPr>
        <w:t xml:space="preserve">competitive </w:t>
      </w:r>
      <w:r w:rsidR="00F112D7" w:rsidRPr="005756A6">
        <w:rPr>
          <w:rFonts w:ascii="Garamond" w:hAnsi="Garamond" w:cs="Times New Roman"/>
          <w:sz w:val="24"/>
          <w:szCs w:val="24"/>
        </w:rPr>
        <w:t>primary election</w:t>
      </w:r>
      <w:r w:rsidRPr="005756A6">
        <w:rPr>
          <w:rFonts w:ascii="Garamond" w:hAnsi="Garamond" w:cs="Times New Roman"/>
          <w:sz w:val="24"/>
          <w:szCs w:val="24"/>
        </w:rPr>
        <w:t xml:space="preserve"> campaign</w:t>
      </w:r>
      <w:r w:rsidR="00F112D7" w:rsidRPr="005756A6">
        <w:rPr>
          <w:rFonts w:ascii="Garamond" w:hAnsi="Garamond" w:cs="Times New Roman"/>
          <w:sz w:val="24"/>
          <w:szCs w:val="24"/>
        </w:rPr>
        <w:t xml:space="preserve">. </w:t>
      </w:r>
      <w:r w:rsidR="00B178AC" w:rsidRPr="005756A6">
        <w:rPr>
          <w:rFonts w:ascii="Garamond" w:hAnsi="Garamond" w:cs="Times New Roman"/>
          <w:sz w:val="24"/>
          <w:szCs w:val="24"/>
        </w:rPr>
        <w:t>Furthermore, w</w:t>
      </w:r>
      <w:r w:rsidR="00F112D7" w:rsidRPr="005756A6">
        <w:rPr>
          <w:rFonts w:ascii="Garamond" w:hAnsi="Garamond" w:cs="Times New Roman"/>
          <w:sz w:val="24"/>
          <w:szCs w:val="24"/>
        </w:rPr>
        <w:t xml:space="preserve">e excluded </w:t>
      </w:r>
      <w:r w:rsidR="00596273" w:rsidRPr="005756A6">
        <w:rPr>
          <w:rFonts w:ascii="Garamond" w:hAnsi="Garamond" w:cs="Times New Roman"/>
          <w:sz w:val="24"/>
          <w:szCs w:val="24"/>
        </w:rPr>
        <w:t xml:space="preserve">half of the electorate: </w:t>
      </w:r>
      <w:r w:rsidR="00F112D7" w:rsidRPr="005756A6">
        <w:rPr>
          <w:rFonts w:ascii="Garamond" w:hAnsi="Garamond" w:cs="Times New Roman"/>
          <w:sz w:val="24"/>
          <w:szCs w:val="24"/>
        </w:rPr>
        <w:t>those who were judged—based on vote history and micro-</w:t>
      </w:r>
      <w:r w:rsidRPr="005756A6">
        <w:rPr>
          <w:rFonts w:ascii="Garamond" w:hAnsi="Garamond" w:cs="Times New Roman"/>
          <w:sz w:val="24"/>
          <w:szCs w:val="24"/>
        </w:rPr>
        <w:t xml:space="preserve">targeting—to </w:t>
      </w:r>
      <w:r w:rsidR="00596273" w:rsidRPr="005756A6">
        <w:rPr>
          <w:rFonts w:ascii="Garamond" w:hAnsi="Garamond" w:cs="Times New Roman"/>
          <w:sz w:val="24"/>
          <w:szCs w:val="24"/>
        </w:rPr>
        <w:t xml:space="preserve">be </w:t>
      </w:r>
      <w:r w:rsidR="008C7D88" w:rsidRPr="005756A6">
        <w:rPr>
          <w:rFonts w:ascii="Garamond" w:hAnsi="Garamond" w:cs="Times New Roman"/>
          <w:sz w:val="24"/>
          <w:szCs w:val="24"/>
        </w:rPr>
        <w:t xml:space="preserve">less </w:t>
      </w:r>
      <w:r w:rsidRPr="005756A6">
        <w:rPr>
          <w:rFonts w:ascii="Garamond" w:hAnsi="Garamond" w:cs="Times New Roman"/>
          <w:sz w:val="24"/>
          <w:szCs w:val="24"/>
        </w:rPr>
        <w:t>likely to cast a vote for Abbott.</w:t>
      </w:r>
      <w:r w:rsidR="002D2679">
        <w:rPr>
          <w:rStyle w:val="FootnoteReference"/>
          <w:rFonts w:ascii="Garamond" w:hAnsi="Garamond" w:cs="Times New Roman"/>
          <w:sz w:val="24"/>
          <w:szCs w:val="24"/>
        </w:rPr>
        <w:footnoteReference w:id="17"/>
      </w:r>
      <w:r w:rsidRPr="005756A6">
        <w:rPr>
          <w:rFonts w:ascii="Garamond" w:hAnsi="Garamond" w:cs="Times New Roman"/>
          <w:sz w:val="24"/>
          <w:szCs w:val="24"/>
        </w:rPr>
        <w:t xml:space="preserve"> </w:t>
      </w:r>
      <w:r w:rsidR="002B6824" w:rsidRPr="005756A6">
        <w:rPr>
          <w:rFonts w:ascii="Garamond" w:hAnsi="Garamond" w:cs="Times New Roman"/>
          <w:sz w:val="24"/>
          <w:szCs w:val="24"/>
        </w:rPr>
        <w:t>This means that estimate</w:t>
      </w:r>
      <w:r w:rsidR="004C0559" w:rsidRPr="005756A6">
        <w:rPr>
          <w:rFonts w:ascii="Garamond" w:hAnsi="Garamond" w:cs="Times New Roman"/>
          <w:sz w:val="24"/>
          <w:szCs w:val="24"/>
        </w:rPr>
        <w:t xml:space="preserve">d effects </w:t>
      </w:r>
      <w:r w:rsidR="002B6824" w:rsidRPr="005756A6">
        <w:rPr>
          <w:rFonts w:ascii="Garamond" w:hAnsi="Garamond" w:cs="Times New Roman"/>
          <w:sz w:val="24"/>
          <w:szCs w:val="24"/>
        </w:rPr>
        <w:t xml:space="preserve">are </w:t>
      </w:r>
      <w:r w:rsidR="004C0559" w:rsidRPr="005756A6">
        <w:rPr>
          <w:rFonts w:ascii="Garamond" w:hAnsi="Garamond" w:cs="Times New Roman"/>
          <w:sz w:val="24"/>
          <w:szCs w:val="24"/>
        </w:rPr>
        <w:t xml:space="preserve">possibly </w:t>
      </w:r>
      <w:r w:rsidR="002B6824" w:rsidRPr="005756A6">
        <w:rPr>
          <w:rFonts w:ascii="Garamond" w:hAnsi="Garamond" w:cs="Times New Roman"/>
          <w:sz w:val="24"/>
          <w:szCs w:val="24"/>
        </w:rPr>
        <w:t xml:space="preserve">over-stated because </w:t>
      </w:r>
      <w:r w:rsidR="006E4A84" w:rsidRPr="005756A6">
        <w:rPr>
          <w:rFonts w:ascii="Garamond" w:hAnsi="Garamond" w:cs="Times New Roman"/>
          <w:sz w:val="24"/>
          <w:szCs w:val="24"/>
        </w:rPr>
        <w:t>we exclude</w:t>
      </w:r>
      <w:r w:rsidR="002B6824" w:rsidRPr="005756A6">
        <w:rPr>
          <w:rFonts w:ascii="Garamond" w:hAnsi="Garamond" w:cs="Times New Roman"/>
          <w:sz w:val="24"/>
          <w:szCs w:val="24"/>
        </w:rPr>
        <w:t xml:space="preserve"> from the analysis </w:t>
      </w:r>
      <w:r w:rsidR="006E4A84" w:rsidRPr="005756A6">
        <w:rPr>
          <w:rFonts w:ascii="Garamond" w:hAnsi="Garamond" w:cs="Times New Roman"/>
          <w:sz w:val="24"/>
          <w:szCs w:val="24"/>
        </w:rPr>
        <w:t xml:space="preserve">those judged to be most resistant to the campaign. However, even </w:t>
      </w:r>
      <w:r w:rsidR="004C0559" w:rsidRPr="005756A6">
        <w:rPr>
          <w:rFonts w:ascii="Garamond" w:hAnsi="Garamond" w:cs="Times New Roman"/>
          <w:sz w:val="24"/>
          <w:szCs w:val="24"/>
        </w:rPr>
        <w:t xml:space="preserve">conceding </w:t>
      </w:r>
      <w:r w:rsidR="006E4A84" w:rsidRPr="005756A6">
        <w:rPr>
          <w:rFonts w:ascii="Garamond" w:hAnsi="Garamond" w:cs="Times New Roman"/>
          <w:sz w:val="24"/>
          <w:szCs w:val="24"/>
        </w:rPr>
        <w:t xml:space="preserve">this point, </w:t>
      </w:r>
      <w:r w:rsidR="008C7D88" w:rsidRPr="005756A6">
        <w:rPr>
          <w:rFonts w:ascii="Garamond" w:hAnsi="Garamond" w:cs="Times New Roman"/>
          <w:sz w:val="24"/>
          <w:szCs w:val="24"/>
        </w:rPr>
        <w:t xml:space="preserve">fifty percent of </w:t>
      </w:r>
      <w:r w:rsidR="00DC1AC2" w:rsidRPr="005756A6">
        <w:rPr>
          <w:rFonts w:ascii="Garamond" w:hAnsi="Garamond" w:cs="Times New Roman"/>
          <w:sz w:val="24"/>
          <w:szCs w:val="24"/>
        </w:rPr>
        <w:t xml:space="preserve">Texas </w:t>
      </w:r>
      <w:r w:rsidR="005A0F5C" w:rsidRPr="005756A6">
        <w:rPr>
          <w:rFonts w:ascii="Garamond" w:hAnsi="Garamond" w:cs="Times New Roman"/>
          <w:sz w:val="24"/>
          <w:szCs w:val="24"/>
        </w:rPr>
        <w:t xml:space="preserve">voters </w:t>
      </w:r>
      <w:r w:rsidR="000212AB" w:rsidRPr="005756A6">
        <w:rPr>
          <w:rFonts w:ascii="Garamond" w:hAnsi="Garamond" w:cs="Times New Roman"/>
          <w:sz w:val="24"/>
          <w:szCs w:val="24"/>
        </w:rPr>
        <w:t xml:space="preserve">in our test markets </w:t>
      </w:r>
      <w:r w:rsidR="000276A9" w:rsidRPr="005756A6">
        <w:rPr>
          <w:rFonts w:ascii="Garamond" w:hAnsi="Garamond" w:cs="Times New Roman"/>
          <w:sz w:val="24"/>
          <w:szCs w:val="24"/>
        </w:rPr>
        <w:t>we</w:t>
      </w:r>
      <w:r w:rsidR="005A0F5C" w:rsidRPr="005756A6">
        <w:rPr>
          <w:rFonts w:ascii="Garamond" w:hAnsi="Garamond" w:cs="Times New Roman"/>
          <w:sz w:val="24"/>
          <w:szCs w:val="24"/>
        </w:rPr>
        <w:t xml:space="preserve">re in play based on </w:t>
      </w:r>
      <w:r w:rsidR="00F43E83" w:rsidRPr="005756A6">
        <w:rPr>
          <w:rFonts w:ascii="Garamond" w:hAnsi="Garamond" w:cs="Times New Roman"/>
          <w:sz w:val="24"/>
          <w:szCs w:val="24"/>
        </w:rPr>
        <w:t>our criteria.</w:t>
      </w:r>
      <w:r w:rsidR="001E0143" w:rsidRPr="005756A6">
        <w:rPr>
          <w:rFonts w:ascii="Garamond" w:hAnsi="Garamond" w:cs="Times New Roman"/>
          <w:sz w:val="24"/>
          <w:szCs w:val="24"/>
        </w:rPr>
        <w:t xml:space="preserve"> </w:t>
      </w:r>
      <w:r w:rsidR="008C7D88" w:rsidRPr="005756A6">
        <w:rPr>
          <w:rFonts w:ascii="Garamond" w:hAnsi="Garamond" w:cs="Times New Roman"/>
          <w:sz w:val="24"/>
          <w:szCs w:val="24"/>
        </w:rPr>
        <w:t xml:space="preserve">It is also worth observing that </w:t>
      </w:r>
      <w:r w:rsidR="001E0143" w:rsidRPr="005756A6">
        <w:rPr>
          <w:rFonts w:ascii="Garamond" w:hAnsi="Garamond" w:cs="Times New Roman"/>
          <w:sz w:val="24"/>
          <w:szCs w:val="24"/>
        </w:rPr>
        <w:t xml:space="preserve">Davis </w:t>
      </w:r>
      <w:r w:rsidR="001E0143" w:rsidRPr="005756A6">
        <w:rPr>
          <w:rFonts w:ascii="Garamond" w:hAnsi="Garamond" w:cs="Times New Roman"/>
          <w:sz w:val="24"/>
          <w:szCs w:val="24"/>
          <w:u w:val="single"/>
        </w:rPr>
        <w:t>was</w:t>
      </w:r>
      <w:r w:rsidR="001E0143" w:rsidRPr="005756A6">
        <w:rPr>
          <w:rFonts w:ascii="Garamond" w:hAnsi="Garamond" w:cs="Times New Roman"/>
          <w:sz w:val="24"/>
          <w:szCs w:val="24"/>
        </w:rPr>
        <w:t xml:space="preserve"> campaigning during this period of time, and</w:t>
      </w:r>
      <w:r w:rsidR="00C06647" w:rsidRPr="005756A6">
        <w:rPr>
          <w:rFonts w:ascii="Garamond" w:hAnsi="Garamond" w:cs="Times New Roman"/>
          <w:sz w:val="24"/>
          <w:szCs w:val="24"/>
        </w:rPr>
        <w:t xml:space="preserve"> the vast majority of her outreach </w:t>
      </w:r>
      <w:r w:rsidR="008500B8" w:rsidRPr="005756A6">
        <w:rPr>
          <w:rFonts w:ascii="Garamond" w:hAnsi="Garamond" w:cs="Times New Roman"/>
          <w:sz w:val="24"/>
          <w:szCs w:val="24"/>
        </w:rPr>
        <w:t>sought to raise doubts about</w:t>
      </w:r>
      <w:r w:rsidR="00C06647" w:rsidRPr="005756A6">
        <w:rPr>
          <w:rFonts w:ascii="Garamond" w:hAnsi="Garamond" w:cs="Times New Roman"/>
          <w:sz w:val="24"/>
          <w:szCs w:val="24"/>
        </w:rPr>
        <w:t xml:space="preserve"> Abbott. Because of this, the tests </w:t>
      </w:r>
      <w:r w:rsidR="008C5430" w:rsidRPr="005756A6">
        <w:rPr>
          <w:rFonts w:ascii="Garamond" w:hAnsi="Garamond" w:cs="Times New Roman"/>
          <w:sz w:val="24"/>
          <w:szCs w:val="24"/>
        </w:rPr>
        <w:t xml:space="preserve">were conducted during what we would describe as a slightly </w:t>
      </w:r>
      <w:r w:rsidR="003140BE" w:rsidRPr="005756A6">
        <w:rPr>
          <w:rFonts w:ascii="Garamond" w:hAnsi="Garamond" w:cs="Times New Roman"/>
          <w:sz w:val="24"/>
          <w:szCs w:val="24"/>
        </w:rPr>
        <w:t>less intense</w:t>
      </w:r>
      <w:r w:rsidR="008C5430" w:rsidRPr="005756A6">
        <w:rPr>
          <w:rFonts w:ascii="Garamond" w:hAnsi="Garamond" w:cs="Times New Roman"/>
          <w:sz w:val="24"/>
          <w:szCs w:val="24"/>
        </w:rPr>
        <w:t xml:space="preserve"> approximation of the general election campaign.</w:t>
      </w:r>
    </w:p>
    <w:p w14:paraId="2003F58B" w14:textId="4A338F56" w:rsidR="003F615D" w:rsidRPr="005756A6" w:rsidRDefault="00857327" w:rsidP="002D6C93">
      <w:pPr>
        <w:spacing w:after="0" w:line="480" w:lineRule="auto"/>
        <w:ind w:firstLine="720"/>
        <w:rPr>
          <w:rFonts w:ascii="Garamond" w:hAnsi="Garamond" w:cs="Times New Roman"/>
          <w:sz w:val="24"/>
          <w:szCs w:val="24"/>
        </w:rPr>
      </w:pPr>
      <w:r w:rsidRPr="005756A6">
        <w:rPr>
          <w:rFonts w:ascii="Garamond" w:hAnsi="Garamond" w:cs="Times New Roman"/>
          <w:sz w:val="24"/>
          <w:szCs w:val="24"/>
        </w:rPr>
        <w:t xml:space="preserve">Some might be concerned </w:t>
      </w:r>
      <w:r w:rsidR="00F43E83" w:rsidRPr="005756A6">
        <w:rPr>
          <w:rFonts w:ascii="Garamond" w:hAnsi="Garamond" w:cs="Times New Roman"/>
          <w:sz w:val="24"/>
          <w:szCs w:val="24"/>
        </w:rPr>
        <w:t xml:space="preserve">that </w:t>
      </w:r>
      <w:r w:rsidR="00E55442" w:rsidRPr="005756A6">
        <w:rPr>
          <w:rFonts w:ascii="Garamond" w:hAnsi="Garamond" w:cs="Times New Roman"/>
          <w:sz w:val="24"/>
          <w:szCs w:val="24"/>
        </w:rPr>
        <w:t>we are</w:t>
      </w:r>
      <w:r w:rsidR="00BC2F5D" w:rsidRPr="005756A6">
        <w:rPr>
          <w:rFonts w:ascii="Garamond" w:hAnsi="Garamond" w:cs="Times New Roman"/>
          <w:sz w:val="24"/>
          <w:szCs w:val="24"/>
        </w:rPr>
        <w:t xml:space="preserve"> </w:t>
      </w:r>
      <w:r w:rsidR="00F43E83" w:rsidRPr="005756A6">
        <w:rPr>
          <w:rFonts w:ascii="Garamond" w:hAnsi="Garamond" w:cs="Times New Roman"/>
          <w:sz w:val="24"/>
          <w:szCs w:val="24"/>
        </w:rPr>
        <w:t>studying a single state (Texas)</w:t>
      </w:r>
      <w:r w:rsidR="002478D6" w:rsidRPr="005756A6">
        <w:rPr>
          <w:rFonts w:ascii="Garamond" w:hAnsi="Garamond" w:cs="Times New Roman"/>
          <w:sz w:val="24"/>
          <w:szCs w:val="24"/>
        </w:rPr>
        <w:t>,</w:t>
      </w:r>
      <w:r w:rsidR="00F43E83" w:rsidRPr="005756A6">
        <w:rPr>
          <w:rFonts w:ascii="Garamond" w:hAnsi="Garamond" w:cs="Times New Roman"/>
          <w:sz w:val="24"/>
          <w:szCs w:val="24"/>
        </w:rPr>
        <w:t xml:space="preserve"> and do not </w:t>
      </w:r>
      <w:r w:rsidR="00D228E0" w:rsidRPr="005756A6">
        <w:rPr>
          <w:rFonts w:ascii="Garamond" w:hAnsi="Garamond" w:cs="Times New Roman"/>
          <w:sz w:val="24"/>
          <w:szCs w:val="24"/>
        </w:rPr>
        <w:t xml:space="preserve">strictly control for message across the mode tests. </w:t>
      </w:r>
      <w:r w:rsidRPr="005756A6">
        <w:rPr>
          <w:rFonts w:ascii="Garamond" w:hAnsi="Garamond" w:cs="Times New Roman"/>
          <w:sz w:val="24"/>
          <w:szCs w:val="24"/>
        </w:rPr>
        <w:t>T</w:t>
      </w:r>
      <w:r w:rsidR="00D534AE" w:rsidRPr="005756A6">
        <w:rPr>
          <w:rFonts w:ascii="Garamond" w:hAnsi="Garamond" w:cs="Times New Roman"/>
          <w:sz w:val="24"/>
          <w:szCs w:val="24"/>
        </w:rPr>
        <w:t>here is little reason</w:t>
      </w:r>
      <w:r w:rsidRPr="005756A6">
        <w:rPr>
          <w:rFonts w:ascii="Garamond" w:hAnsi="Garamond" w:cs="Times New Roman"/>
          <w:sz w:val="24"/>
          <w:szCs w:val="24"/>
        </w:rPr>
        <w:t>, however,</w:t>
      </w:r>
      <w:r w:rsidR="00D534AE" w:rsidRPr="005756A6">
        <w:rPr>
          <w:rFonts w:ascii="Garamond" w:hAnsi="Garamond" w:cs="Times New Roman"/>
          <w:sz w:val="24"/>
          <w:szCs w:val="24"/>
        </w:rPr>
        <w:t xml:space="preserve"> to think Texas </w:t>
      </w:r>
      <w:r w:rsidR="00A34E6C">
        <w:rPr>
          <w:rFonts w:ascii="Garamond" w:hAnsi="Garamond" w:cs="Times New Roman"/>
          <w:sz w:val="24"/>
          <w:szCs w:val="24"/>
        </w:rPr>
        <w:t xml:space="preserve">is </w:t>
      </w:r>
      <w:r w:rsidR="00D534AE" w:rsidRPr="005756A6">
        <w:rPr>
          <w:rFonts w:ascii="Garamond" w:hAnsi="Garamond" w:cs="Times New Roman"/>
          <w:sz w:val="24"/>
          <w:szCs w:val="24"/>
        </w:rPr>
        <w:t>exceptional in this particular instance. In addition, the rejection of single location studies would put quite a dent in our collective knowledge of campaign effects (Goodbye, Elmira! So long</w:t>
      </w:r>
      <w:r w:rsidR="00B447CE" w:rsidRPr="005756A6">
        <w:rPr>
          <w:rFonts w:ascii="Garamond" w:hAnsi="Garamond" w:cs="Times New Roman"/>
          <w:sz w:val="24"/>
          <w:szCs w:val="24"/>
        </w:rPr>
        <w:t>,</w:t>
      </w:r>
      <w:r w:rsidR="00D534AE" w:rsidRPr="005756A6">
        <w:rPr>
          <w:rFonts w:ascii="Garamond" w:hAnsi="Garamond" w:cs="Times New Roman"/>
          <w:sz w:val="24"/>
          <w:szCs w:val="24"/>
        </w:rPr>
        <w:t xml:space="preserve"> Erie County! See you later, New Haven!). </w:t>
      </w:r>
      <w:r w:rsidR="00552AE1" w:rsidRPr="005756A6">
        <w:rPr>
          <w:rFonts w:ascii="Garamond" w:hAnsi="Garamond" w:cs="Times New Roman"/>
          <w:sz w:val="24"/>
          <w:szCs w:val="24"/>
        </w:rPr>
        <w:t>As for message</w:t>
      </w:r>
      <w:r w:rsidR="003804E6" w:rsidRPr="005756A6">
        <w:rPr>
          <w:rFonts w:ascii="Garamond" w:hAnsi="Garamond" w:cs="Times New Roman"/>
          <w:sz w:val="24"/>
          <w:szCs w:val="24"/>
        </w:rPr>
        <w:t xml:space="preserve"> </w:t>
      </w:r>
      <w:r w:rsidR="00552AE1" w:rsidRPr="005756A6">
        <w:rPr>
          <w:rFonts w:ascii="Garamond" w:hAnsi="Garamond" w:cs="Times New Roman"/>
          <w:sz w:val="24"/>
          <w:szCs w:val="24"/>
        </w:rPr>
        <w:t xml:space="preserve">effects, the consistency of message is notable </w:t>
      </w:r>
      <w:r w:rsidR="00552AE1" w:rsidRPr="005756A6">
        <w:rPr>
          <w:rFonts w:ascii="Garamond" w:hAnsi="Garamond" w:cs="Times New Roman"/>
          <w:sz w:val="24"/>
          <w:szCs w:val="24"/>
        </w:rPr>
        <w:lastRenderedPageBreak/>
        <w:t xml:space="preserve">across the modes, although differences are impossible to totally neutralize. </w:t>
      </w:r>
      <w:r w:rsidRPr="005756A6">
        <w:rPr>
          <w:rFonts w:ascii="Garamond" w:hAnsi="Garamond" w:cs="Times New Roman"/>
          <w:sz w:val="24"/>
          <w:szCs w:val="24"/>
        </w:rPr>
        <w:t xml:space="preserve">One might also be worried </w:t>
      </w:r>
      <w:r w:rsidR="00EC0CCB" w:rsidRPr="005756A6">
        <w:rPr>
          <w:rFonts w:ascii="Garamond" w:hAnsi="Garamond" w:cs="Times New Roman"/>
          <w:sz w:val="24"/>
          <w:szCs w:val="24"/>
        </w:rPr>
        <w:t xml:space="preserve">that we did not systematically analyze Democratic primary turnout in this study. This means that </w:t>
      </w:r>
      <w:r w:rsidR="00E55442" w:rsidRPr="005756A6">
        <w:rPr>
          <w:rFonts w:ascii="Garamond" w:hAnsi="Garamond" w:cs="Times New Roman"/>
          <w:sz w:val="24"/>
          <w:szCs w:val="24"/>
        </w:rPr>
        <w:t>we</w:t>
      </w:r>
      <w:r w:rsidR="00EC0CCB" w:rsidRPr="005756A6">
        <w:rPr>
          <w:rFonts w:ascii="Garamond" w:hAnsi="Garamond" w:cs="Times New Roman"/>
          <w:sz w:val="24"/>
          <w:szCs w:val="24"/>
        </w:rPr>
        <w:t xml:space="preserve"> cannot definitively speak to the possibility that </w:t>
      </w:r>
      <w:r w:rsidR="00BC2F5D" w:rsidRPr="005756A6">
        <w:rPr>
          <w:rFonts w:ascii="Garamond" w:hAnsi="Garamond" w:cs="Times New Roman"/>
          <w:sz w:val="24"/>
          <w:szCs w:val="24"/>
        </w:rPr>
        <w:t>the</w:t>
      </w:r>
      <w:r w:rsidR="00EC0CCB" w:rsidRPr="005756A6">
        <w:rPr>
          <w:rFonts w:ascii="Garamond" w:hAnsi="Garamond" w:cs="Times New Roman"/>
          <w:sz w:val="24"/>
          <w:szCs w:val="24"/>
        </w:rPr>
        <w:t xml:space="preserve"> treatments counter-mobilized Democrats. </w:t>
      </w:r>
      <w:r w:rsidR="003F615D" w:rsidRPr="005756A6">
        <w:rPr>
          <w:rFonts w:ascii="Garamond" w:hAnsi="Garamond" w:cs="Times New Roman"/>
          <w:sz w:val="24"/>
          <w:szCs w:val="24"/>
        </w:rPr>
        <w:t xml:space="preserve">After conducting </w:t>
      </w:r>
      <w:r w:rsidR="00BC2F5D" w:rsidRPr="005756A6">
        <w:rPr>
          <w:rFonts w:ascii="Garamond" w:hAnsi="Garamond" w:cs="Times New Roman"/>
          <w:sz w:val="24"/>
          <w:szCs w:val="24"/>
        </w:rPr>
        <w:t>the</w:t>
      </w:r>
      <w:r w:rsidR="003F615D" w:rsidRPr="005756A6">
        <w:rPr>
          <w:rFonts w:ascii="Garamond" w:hAnsi="Garamond" w:cs="Times New Roman"/>
          <w:sz w:val="24"/>
          <w:szCs w:val="24"/>
        </w:rPr>
        <w:t xml:space="preserve"> main analyses, </w:t>
      </w:r>
      <w:r w:rsidR="00E55442" w:rsidRPr="005756A6">
        <w:rPr>
          <w:rFonts w:ascii="Garamond" w:hAnsi="Garamond" w:cs="Times New Roman"/>
          <w:sz w:val="24"/>
          <w:szCs w:val="24"/>
        </w:rPr>
        <w:t>we</w:t>
      </w:r>
      <w:r w:rsidR="003F615D" w:rsidRPr="005756A6">
        <w:rPr>
          <w:rFonts w:ascii="Garamond" w:hAnsi="Garamond" w:cs="Times New Roman"/>
          <w:sz w:val="24"/>
          <w:szCs w:val="24"/>
        </w:rPr>
        <w:t xml:space="preserve"> did go back and </w:t>
      </w:r>
      <w:r w:rsidR="00EC0CCB" w:rsidRPr="005756A6">
        <w:rPr>
          <w:rFonts w:ascii="Garamond" w:hAnsi="Garamond" w:cs="Times New Roman"/>
          <w:sz w:val="24"/>
          <w:szCs w:val="24"/>
        </w:rPr>
        <w:t>look at Democratic primary turnout</w:t>
      </w:r>
      <w:r w:rsidR="00200C70" w:rsidRPr="005756A6">
        <w:rPr>
          <w:rFonts w:ascii="Garamond" w:hAnsi="Garamond" w:cs="Times New Roman"/>
          <w:sz w:val="24"/>
          <w:szCs w:val="24"/>
        </w:rPr>
        <w:t xml:space="preserve">: </w:t>
      </w:r>
      <w:r w:rsidR="00EC0CCB" w:rsidRPr="005756A6">
        <w:rPr>
          <w:rFonts w:ascii="Garamond" w:hAnsi="Garamond" w:cs="Times New Roman"/>
          <w:sz w:val="24"/>
          <w:szCs w:val="24"/>
        </w:rPr>
        <w:t>it was so low</w:t>
      </w:r>
      <w:r w:rsidR="00CA5A6E" w:rsidRPr="005756A6">
        <w:rPr>
          <w:rFonts w:ascii="Garamond" w:hAnsi="Garamond" w:cs="Times New Roman"/>
          <w:sz w:val="24"/>
          <w:szCs w:val="24"/>
        </w:rPr>
        <w:t xml:space="preserve"> (4.1% of registered voters, 3.0% of the voting age population)</w:t>
      </w:r>
      <w:r w:rsidR="00EC0CCB" w:rsidRPr="005756A6">
        <w:rPr>
          <w:rFonts w:ascii="Garamond" w:hAnsi="Garamond" w:cs="Times New Roman"/>
          <w:sz w:val="24"/>
          <w:szCs w:val="24"/>
        </w:rPr>
        <w:t xml:space="preserve"> and varied so little that it provided almost no additional leverage on the question </w:t>
      </w:r>
      <w:r w:rsidR="003F615D" w:rsidRPr="005756A6">
        <w:rPr>
          <w:rFonts w:ascii="Garamond" w:hAnsi="Garamond" w:cs="Times New Roman"/>
          <w:sz w:val="24"/>
          <w:szCs w:val="24"/>
        </w:rPr>
        <w:t xml:space="preserve">of turnout. </w:t>
      </w:r>
    </w:p>
    <w:p w14:paraId="52EF8885" w14:textId="267DB260" w:rsidR="00CA19FE" w:rsidRPr="005756A6" w:rsidRDefault="00E55442" w:rsidP="002D6C93">
      <w:pPr>
        <w:spacing w:after="0" w:line="480" w:lineRule="auto"/>
        <w:ind w:firstLine="720"/>
        <w:rPr>
          <w:rFonts w:ascii="Garamond" w:hAnsi="Garamond" w:cs="Times New Roman"/>
          <w:sz w:val="24"/>
          <w:szCs w:val="24"/>
        </w:rPr>
      </w:pPr>
      <w:r w:rsidRPr="005756A6">
        <w:rPr>
          <w:rFonts w:ascii="Garamond" w:hAnsi="Garamond" w:cs="Times New Roman"/>
          <w:sz w:val="24"/>
          <w:szCs w:val="24"/>
        </w:rPr>
        <w:t>We</w:t>
      </w:r>
      <w:r w:rsidR="003F615D" w:rsidRPr="005756A6">
        <w:rPr>
          <w:rFonts w:ascii="Garamond" w:hAnsi="Garamond" w:cs="Times New Roman"/>
          <w:sz w:val="24"/>
          <w:szCs w:val="24"/>
        </w:rPr>
        <w:t xml:space="preserve"> </w:t>
      </w:r>
      <w:r w:rsidR="002478D6" w:rsidRPr="005756A6">
        <w:rPr>
          <w:rFonts w:ascii="Garamond" w:hAnsi="Garamond" w:cs="Times New Roman"/>
          <w:sz w:val="24"/>
          <w:szCs w:val="24"/>
        </w:rPr>
        <w:t xml:space="preserve">should also </w:t>
      </w:r>
      <w:r w:rsidR="00200C70" w:rsidRPr="005756A6">
        <w:rPr>
          <w:rFonts w:ascii="Garamond" w:hAnsi="Garamond" w:cs="Times New Roman"/>
          <w:sz w:val="24"/>
          <w:szCs w:val="24"/>
        </w:rPr>
        <w:t xml:space="preserve">acknowledge </w:t>
      </w:r>
      <w:r w:rsidR="00710A77" w:rsidRPr="005756A6">
        <w:rPr>
          <w:rFonts w:ascii="Garamond" w:hAnsi="Garamond" w:cs="Times New Roman"/>
          <w:sz w:val="24"/>
          <w:szCs w:val="24"/>
        </w:rPr>
        <w:t xml:space="preserve">the possibility </w:t>
      </w:r>
      <w:r w:rsidR="002478D6" w:rsidRPr="005756A6">
        <w:rPr>
          <w:rFonts w:ascii="Garamond" w:hAnsi="Garamond" w:cs="Times New Roman"/>
          <w:sz w:val="24"/>
          <w:szCs w:val="24"/>
        </w:rPr>
        <w:t>of</w:t>
      </w:r>
      <w:r w:rsidR="00710A77" w:rsidRPr="005756A6">
        <w:rPr>
          <w:rFonts w:ascii="Garamond" w:hAnsi="Garamond" w:cs="Times New Roman"/>
          <w:sz w:val="24"/>
          <w:szCs w:val="24"/>
        </w:rPr>
        <w:t xml:space="preserve"> </w:t>
      </w:r>
      <w:r w:rsidR="003F615D" w:rsidRPr="005756A6">
        <w:rPr>
          <w:rFonts w:ascii="Garamond" w:hAnsi="Garamond" w:cs="Times New Roman"/>
          <w:sz w:val="24"/>
          <w:szCs w:val="24"/>
        </w:rPr>
        <w:t xml:space="preserve">media market heterogeneity and treatment effects. Specifically, several consultants were concerned about the selection of </w:t>
      </w:r>
      <w:r w:rsidR="007774C4" w:rsidRPr="005756A6">
        <w:rPr>
          <w:rFonts w:ascii="Garamond" w:hAnsi="Garamond" w:cs="Times New Roman"/>
          <w:sz w:val="24"/>
          <w:szCs w:val="24"/>
        </w:rPr>
        <w:t>Harlingen-</w:t>
      </w:r>
      <w:r w:rsidR="003F615D" w:rsidRPr="005756A6">
        <w:rPr>
          <w:rFonts w:ascii="Garamond" w:hAnsi="Garamond" w:cs="Times New Roman"/>
          <w:sz w:val="24"/>
          <w:szCs w:val="24"/>
        </w:rPr>
        <w:t>Brownsville</w:t>
      </w:r>
      <w:r w:rsidR="007774C4" w:rsidRPr="005756A6">
        <w:rPr>
          <w:rFonts w:ascii="Garamond" w:hAnsi="Garamond" w:cs="Times New Roman"/>
          <w:sz w:val="24"/>
          <w:szCs w:val="24"/>
        </w:rPr>
        <w:t>-McAllen</w:t>
      </w:r>
      <w:r w:rsidR="003F615D" w:rsidRPr="005756A6">
        <w:rPr>
          <w:rFonts w:ascii="Garamond" w:hAnsi="Garamond" w:cs="Times New Roman"/>
          <w:sz w:val="24"/>
          <w:szCs w:val="24"/>
        </w:rPr>
        <w:t xml:space="preserve"> as a treatment market. Although </w:t>
      </w:r>
      <w:r w:rsidR="007774C4" w:rsidRPr="005756A6">
        <w:rPr>
          <w:rFonts w:ascii="Garamond" w:hAnsi="Garamond" w:cs="Times New Roman"/>
          <w:sz w:val="24"/>
          <w:szCs w:val="24"/>
        </w:rPr>
        <w:t>Harlingen</w:t>
      </w:r>
      <w:r w:rsidR="003F615D" w:rsidRPr="005756A6">
        <w:rPr>
          <w:rFonts w:ascii="Garamond" w:hAnsi="Garamond" w:cs="Times New Roman"/>
          <w:sz w:val="24"/>
          <w:szCs w:val="24"/>
        </w:rPr>
        <w:t xml:space="preserve"> matches with Corpus Christi, the match is only superficially strong </w:t>
      </w:r>
      <w:r w:rsidR="007774C4" w:rsidRPr="005756A6">
        <w:rPr>
          <w:rFonts w:ascii="Garamond" w:hAnsi="Garamond" w:cs="Times New Roman"/>
          <w:sz w:val="24"/>
          <w:szCs w:val="24"/>
        </w:rPr>
        <w:t xml:space="preserve">(Harlingen is </w:t>
      </w:r>
      <w:r w:rsidR="00FA0313" w:rsidRPr="005756A6">
        <w:rPr>
          <w:rFonts w:ascii="Garamond" w:hAnsi="Garamond" w:cs="Times New Roman"/>
          <w:sz w:val="24"/>
          <w:szCs w:val="24"/>
        </w:rPr>
        <w:t xml:space="preserve">heavily Democratic and Hispanic) </w:t>
      </w:r>
      <w:r w:rsidR="003F615D" w:rsidRPr="005756A6">
        <w:rPr>
          <w:rFonts w:ascii="Garamond" w:hAnsi="Garamond" w:cs="Times New Roman"/>
          <w:sz w:val="24"/>
          <w:szCs w:val="24"/>
        </w:rPr>
        <w:t xml:space="preserve">and there are reasons to think that </w:t>
      </w:r>
      <w:r w:rsidR="007774C4" w:rsidRPr="005756A6">
        <w:rPr>
          <w:rFonts w:ascii="Garamond" w:hAnsi="Garamond" w:cs="Times New Roman"/>
          <w:sz w:val="24"/>
          <w:szCs w:val="24"/>
        </w:rPr>
        <w:t xml:space="preserve">using Harlingen as a treatment market might depress the estimated effects of </w:t>
      </w:r>
      <w:r w:rsidR="00FA0313" w:rsidRPr="005756A6">
        <w:rPr>
          <w:rFonts w:ascii="Garamond" w:hAnsi="Garamond" w:cs="Times New Roman"/>
          <w:sz w:val="24"/>
          <w:szCs w:val="24"/>
        </w:rPr>
        <w:t>Republican outreach. We did, of course, include a battery of covariates to insure that treatment imbalances are controlled for in the individual-level analyses</w:t>
      </w:r>
      <w:r w:rsidR="00930CD7" w:rsidRPr="005756A6">
        <w:rPr>
          <w:rFonts w:ascii="Garamond" w:hAnsi="Garamond" w:cs="Times New Roman"/>
          <w:sz w:val="24"/>
          <w:szCs w:val="24"/>
        </w:rPr>
        <w:t xml:space="preserve"> (including primary turnout propensity)</w:t>
      </w:r>
      <w:r w:rsidR="00FA0313" w:rsidRPr="005756A6">
        <w:rPr>
          <w:rFonts w:ascii="Garamond" w:hAnsi="Garamond" w:cs="Times New Roman"/>
          <w:sz w:val="24"/>
          <w:szCs w:val="24"/>
        </w:rPr>
        <w:t xml:space="preserve">, but it is possible that these do not completely control for political context or culture in a particularly unique environment. Still, we were limited in the media markets at our disposal for the study, and </w:t>
      </w:r>
      <w:r w:rsidR="00B501FE" w:rsidRPr="005756A6">
        <w:rPr>
          <w:rFonts w:ascii="Garamond" w:hAnsi="Garamond" w:cs="Times New Roman"/>
          <w:sz w:val="24"/>
          <w:szCs w:val="24"/>
        </w:rPr>
        <w:t>did not think this issue was sufficient to warrant excluding it from either the randomization process or the subsequent analyses.</w:t>
      </w:r>
    </w:p>
    <w:p w14:paraId="4A554AE8" w14:textId="4AA27A7F" w:rsidR="00C26230" w:rsidRPr="005756A6" w:rsidRDefault="000B3ECE" w:rsidP="002D6C93">
      <w:pPr>
        <w:spacing w:after="0" w:line="480" w:lineRule="auto"/>
        <w:rPr>
          <w:rFonts w:ascii="Garamond" w:hAnsi="Garamond" w:cs="Times New Roman"/>
          <w:sz w:val="24"/>
          <w:szCs w:val="24"/>
        </w:rPr>
      </w:pPr>
      <w:r w:rsidRPr="005756A6">
        <w:rPr>
          <w:rFonts w:ascii="Garamond" w:hAnsi="Garamond" w:cs="Times New Roman"/>
          <w:sz w:val="24"/>
          <w:szCs w:val="24"/>
        </w:rPr>
        <w:tab/>
      </w:r>
      <w:r w:rsidR="008A0D06" w:rsidRPr="005756A6">
        <w:rPr>
          <w:rFonts w:ascii="Garamond" w:hAnsi="Garamond" w:cs="Times New Roman"/>
          <w:sz w:val="24"/>
          <w:szCs w:val="24"/>
        </w:rPr>
        <w:t>Most of these</w:t>
      </w:r>
      <w:r w:rsidR="00DD5F96" w:rsidRPr="005756A6">
        <w:rPr>
          <w:rFonts w:ascii="Garamond" w:hAnsi="Garamond" w:cs="Times New Roman"/>
          <w:sz w:val="24"/>
          <w:szCs w:val="24"/>
        </w:rPr>
        <w:t xml:space="preserve"> issues</w:t>
      </w:r>
      <w:r w:rsidR="008A0D06" w:rsidRPr="005756A6">
        <w:rPr>
          <w:rFonts w:ascii="Garamond" w:hAnsi="Garamond" w:cs="Times New Roman"/>
          <w:sz w:val="24"/>
          <w:szCs w:val="24"/>
        </w:rPr>
        <w:t xml:space="preserve">, in our view, are unavoidable and acceptable for a study of multiple modes of campaign outreach in the context of a major partisan statewide election. </w:t>
      </w:r>
      <w:r w:rsidR="00DD5F96" w:rsidRPr="005756A6">
        <w:rPr>
          <w:rFonts w:ascii="Garamond" w:hAnsi="Garamond" w:cs="Times New Roman"/>
          <w:sz w:val="24"/>
          <w:szCs w:val="24"/>
        </w:rPr>
        <w:t xml:space="preserve">The exact magnitude of effects estimated here can be debated, but we </w:t>
      </w:r>
      <w:r w:rsidR="00A34E6C">
        <w:rPr>
          <w:rFonts w:ascii="Garamond" w:hAnsi="Garamond" w:cs="Times New Roman"/>
          <w:sz w:val="24"/>
          <w:szCs w:val="24"/>
        </w:rPr>
        <w:t xml:space="preserve">think we </w:t>
      </w:r>
      <w:r w:rsidR="00DD5F96" w:rsidRPr="005756A6">
        <w:rPr>
          <w:rFonts w:ascii="Garamond" w:hAnsi="Garamond" w:cs="Times New Roman"/>
          <w:sz w:val="24"/>
          <w:szCs w:val="24"/>
        </w:rPr>
        <w:t xml:space="preserve">are on firmer ground </w:t>
      </w:r>
      <w:r w:rsidR="00A34E6C">
        <w:rPr>
          <w:rFonts w:ascii="Garamond" w:hAnsi="Garamond" w:cs="Times New Roman"/>
          <w:sz w:val="24"/>
          <w:szCs w:val="24"/>
        </w:rPr>
        <w:t xml:space="preserve">than most </w:t>
      </w:r>
      <w:r w:rsidR="00DD5F96" w:rsidRPr="005756A6">
        <w:rPr>
          <w:rFonts w:ascii="Garamond" w:hAnsi="Garamond" w:cs="Times New Roman"/>
          <w:sz w:val="24"/>
          <w:szCs w:val="24"/>
        </w:rPr>
        <w:t xml:space="preserve">when extrapolating to the real-world of campaigns given the scope of the experiments and </w:t>
      </w:r>
      <w:r w:rsidR="00E40DBD" w:rsidRPr="005756A6">
        <w:rPr>
          <w:rFonts w:ascii="Garamond" w:hAnsi="Garamond" w:cs="Times New Roman"/>
          <w:sz w:val="24"/>
          <w:szCs w:val="24"/>
        </w:rPr>
        <w:t>involvement of expert, interested parties. Hopefully, this sort of cooperation will become much more common as campaigns institutionalize processes for testing, review, and auditing modes of outreach.</w:t>
      </w:r>
    </w:p>
    <w:p w14:paraId="6170BACF" w14:textId="162BB0EF" w:rsidR="00707E13" w:rsidRPr="005756A6" w:rsidRDefault="007D1244" w:rsidP="007E4518">
      <w:pPr>
        <w:spacing w:after="0" w:line="240" w:lineRule="auto"/>
        <w:rPr>
          <w:rFonts w:ascii="Garamond" w:hAnsi="Garamond" w:cs="Times New Roman"/>
          <w:b/>
        </w:rPr>
      </w:pPr>
      <w:r w:rsidRPr="005756A6">
        <w:rPr>
          <w:rFonts w:ascii="Garamond" w:hAnsi="Garamond" w:cs="Times New Roman"/>
        </w:rPr>
        <w:br w:type="page"/>
      </w:r>
      <w:r w:rsidR="00707E13" w:rsidRPr="005756A6">
        <w:rPr>
          <w:rFonts w:ascii="Garamond" w:hAnsi="Garamond" w:cs="Times New Roman"/>
          <w:b/>
        </w:rPr>
        <w:lastRenderedPageBreak/>
        <w:t>Table 1—Estimates of Campaign Effects in Abbott Experiments</w:t>
      </w:r>
    </w:p>
    <w:p w14:paraId="3CBB79CE" w14:textId="77777777" w:rsidR="00707E13" w:rsidRPr="005756A6" w:rsidRDefault="00707E13" w:rsidP="00707E13">
      <w:pPr>
        <w:spacing w:after="0" w:line="240" w:lineRule="auto"/>
        <w:jc w:val="center"/>
        <w:rPr>
          <w:rFonts w:ascii="Garamond" w:hAnsi="Garamond" w:cs="Times New Roman"/>
          <w:b/>
        </w:rPr>
      </w:pPr>
    </w:p>
    <w:tbl>
      <w:tblPr>
        <w:tblStyle w:val="GridTable1Light1"/>
        <w:tblW w:w="10152" w:type="dxa"/>
        <w:tblLayout w:type="fixed"/>
        <w:tblLook w:val="04A0" w:firstRow="1" w:lastRow="0" w:firstColumn="1" w:lastColumn="0" w:noHBand="0" w:noVBand="1"/>
      </w:tblPr>
      <w:tblGrid>
        <w:gridCol w:w="3602"/>
        <w:gridCol w:w="807"/>
        <w:gridCol w:w="808"/>
        <w:gridCol w:w="987"/>
        <w:gridCol w:w="808"/>
        <w:gridCol w:w="808"/>
        <w:gridCol w:w="928"/>
        <w:gridCol w:w="1404"/>
      </w:tblGrid>
      <w:tr w:rsidR="00707E13" w:rsidRPr="005756A6" w14:paraId="0FFC5B1A" w14:textId="77777777" w:rsidTr="00E37B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2" w:type="dxa"/>
            <w:tcBorders>
              <w:top w:val="single" w:sz="4" w:space="0" w:color="auto"/>
              <w:left w:val="single" w:sz="4" w:space="0" w:color="auto"/>
              <w:right w:val="single" w:sz="4" w:space="0" w:color="auto"/>
            </w:tcBorders>
          </w:tcPr>
          <w:p w14:paraId="7F3CAF2C" w14:textId="77777777" w:rsidR="00707E13" w:rsidRPr="005756A6" w:rsidRDefault="00707E13" w:rsidP="00566BB9">
            <w:pPr>
              <w:jc w:val="center"/>
              <w:rPr>
                <w:rFonts w:ascii="Garamond" w:hAnsi="Garamond" w:cs="Times New Roman"/>
                <w:b w:val="0"/>
                <w:sz w:val="20"/>
                <w:szCs w:val="20"/>
              </w:rPr>
            </w:pPr>
          </w:p>
        </w:tc>
        <w:tc>
          <w:tcPr>
            <w:tcW w:w="2602" w:type="dxa"/>
            <w:gridSpan w:val="3"/>
            <w:tcBorders>
              <w:top w:val="single" w:sz="4" w:space="0" w:color="auto"/>
              <w:left w:val="single" w:sz="4" w:space="0" w:color="auto"/>
              <w:right w:val="single" w:sz="4" w:space="0" w:color="auto"/>
            </w:tcBorders>
          </w:tcPr>
          <w:p w14:paraId="561914EF" w14:textId="77777777" w:rsidR="00707E13" w:rsidRPr="005756A6" w:rsidRDefault="00707E13" w:rsidP="00566BB9">
            <w:pPr>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b w:val="0"/>
                <w:sz w:val="20"/>
                <w:szCs w:val="20"/>
              </w:rPr>
            </w:pPr>
            <w:r w:rsidRPr="005756A6">
              <w:rPr>
                <w:rFonts w:ascii="Garamond" w:hAnsi="Garamond" w:cs="Times New Roman"/>
                <w:sz w:val="20"/>
                <w:szCs w:val="20"/>
              </w:rPr>
              <w:t>Respondents Receiving Treatment</w:t>
            </w:r>
          </w:p>
        </w:tc>
        <w:tc>
          <w:tcPr>
            <w:tcW w:w="2544" w:type="dxa"/>
            <w:gridSpan w:val="3"/>
            <w:tcBorders>
              <w:top w:val="single" w:sz="4" w:space="0" w:color="auto"/>
              <w:left w:val="single" w:sz="4" w:space="0" w:color="auto"/>
              <w:right w:val="single" w:sz="4" w:space="0" w:color="auto"/>
            </w:tcBorders>
          </w:tcPr>
          <w:p w14:paraId="1B44E8AC" w14:textId="77777777" w:rsidR="00707E13" w:rsidRPr="005756A6" w:rsidRDefault="00707E13" w:rsidP="00566BB9">
            <w:pPr>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b w:val="0"/>
                <w:sz w:val="20"/>
                <w:szCs w:val="20"/>
              </w:rPr>
            </w:pPr>
            <w:r w:rsidRPr="005756A6">
              <w:rPr>
                <w:rFonts w:ascii="Garamond" w:hAnsi="Garamond" w:cs="Times New Roman"/>
                <w:sz w:val="20"/>
                <w:szCs w:val="20"/>
              </w:rPr>
              <w:t>Respondents in Control Group</w:t>
            </w:r>
          </w:p>
        </w:tc>
        <w:tc>
          <w:tcPr>
            <w:tcW w:w="1404" w:type="dxa"/>
            <w:tcBorders>
              <w:top w:val="single" w:sz="4" w:space="0" w:color="auto"/>
              <w:left w:val="single" w:sz="4" w:space="0" w:color="auto"/>
              <w:right w:val="single" w:sz="4" w:space="0" w:color="auto"/>
            </w:tcBorders>
          </w:tcPr>
          <w:p w14:paraId="3D9ECBC7" w14:textId="77777777" w:rsidR="00707E13" w:rsidRPr="005756A6" w:rsidRDefault="00707E13" w:rsidP="00566BB9">
            <w:pPr>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sz w:val="20"/>
                <w:szCs w:val="20"/>
              </w:rPr>
            </w:pPr>
            <w:r w:rsidRPr="005756A6">
              <w:rPr>
                <w:rFonts w:ascii="Garamond" w:hAnsi="Garamond" w:cs="Times New Roman"/>
                <w:sz w:val="20"/>
                <w:szCs w:val="20"/>
              </w:rPr>
              <w:t>Treatment Effect compared to Control?</w:t>
            </w:r>
          </w:p>
        </w:tc>
      </w:tr>
      <w:tr w:rsidR="00707E13" w:rsidRPr="005756A6" w14:paraId="6ED4BDE8" w14:textId="77777777" w:rsidTr="00E37B9D">
        <w:tc>
          <w:tcPr>
            <w:cnfStyle w:val="001000000000" w:firstRow="0" w:lastRow="0" w:firstColumn="1" w:lastColumn="0" w:oddVBand="0" w:evenVBand="0" w:oddHBand="0" w:evenHBand="0" w:firstRowFirstColumn="0" w:firstRowLastColumn="0" w:lastRowFirstColumn="0" w:lastRowLastColumn="0"/>
            <w:tcW w:w="3602" w:type="dxa"/>
            <w:tcBorders>
              <w:left w:val="single" w:sz="4" w:space="0" w:color="auto"/>
              <w:right w:val="single" w:sz="4" w:space="0" w:color="auto"/>
            </w:tcBorders>
          </w:tcPr>
          <w:p w14:paraId="5F3FA4B3" w14:textId="77777777" w:rsidR="00707E13" w:rsidRPr="005756A6" w:rsidRDefault="00707E13" w:rsidP="00566BB9">
            <w:pPr>
              <w:jc w:val="center"/>
              <w:rPr>
                <w:rFonts w:ascii="Garamond" w:hAnsi="Garamond" w:cs="Times New Roman"/>
                <w:b w:val="0"/>
                <w:sz w:val="20"/>
                <w:szCs w:val="20"/>
              </w:rPr>
            </w:pPr>
          </w:p>
        </w:tc>
        <w:tc>
          <w:tcPr>
            <w:tcW w:w="807" w:type="dxa"/>
            <w:tcBorders>
              <w:left w:val="single" w:sz="4" w:space="0" w:color="auto"/>
            </w:tcBorders>
          </w:tcPr>
          <w:p w14:paraId="279E3FF8" w14:textId="77777777" w:rsidR="00707E13" w:rsidRPr="005756A6" w:rsidRDefault="00707E13" w:rsidP="00566BB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b/>
                <w:sz w:val="20"/>
                <w:szCs w:val="20"/>
              </w:rPr>
            </w:pPr>
            <w:r w:rsidRPr="005756A6">
              <w:rPr>
                <w:rFonts w:ascii="Garamond" w:hAnsi="Garamond" w:cs="Times New Roman"/>
                <w:b/>
                <w:sz w:val="20"/>
                <w:szCs w:val="20"/>
              </w:rPr>
              <w:t>Pre-</w:t>
            </w:r>
          </w:p>
        </w:tc>
        <w:tc>
          <w:tcPr>
            <w:tcW w:w="808" w:type="dxa"/>
          </w:tcPr>
          <w:p w14:paraId="7D08D7DE" w14:textId="77777777" w:rsidR="00707E13" w:rsidRPr="005756A6" w:rsidRDefault="00707E13" w:rsidP="00566BB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b/>
                <w:sz w:val="20"/>
                <w:szCs w:val="20"/>
              </w:rPr>
            </w:pPr>
            <w:r w:rsidRPr="005756A6">
              <w:rPr>
                <w:rFonts w:ascii="Garamond" w:hAnsi="Garamond" w:cs="Times New Roman"/>
                <w:b/>
                <w:sz w:val="20"/>
                <w:szCs w:val="20"/>
              </w:rPr>
              <w:t>Post-</w:t>
            </w:r>
          </w:p>
        </w:tc>
        <w:tc>
          <w:tcPr>
            <w:tcW w:w="987" w:type="dxa"/>
            <w:tcBorders>
              <w:right w:val="single" w:sz="4" w:space="0" w:color="auto"/>
            </w:tcBorders>
          </w:tcPr>
          <w:p w14:paraId="574E6A7D" w14:textId="77777777" w:rsidR="00707E13" w:rsidRPr="005756A6" w:rsidRDefault="00707E13" w:rsidP="00566BB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b/>
                <w:sz w:val="20"/>
                <w:szCs w:val="20"/>
              </w:rPr>
            </w:pPr>
            <w:r w:rsidRPr="005756A6">
              <w:rPr>
                <w:rFonts w:ascii="Garamond" w:hAnsi="Garamond" w:cs="Times New Roman"/>
                <w:b/>
                <w:sz w:val="20"/>
                <w:szCs w:val="20"/>
              </w:rPr>
              <w:t>Change</w:t>
            </w:r>
          </w:p>
        </w:tc>
        <w:tc>
          <w:tcPr>
            <w:tcW w:w="808" w:type="dxa"/>
            <w:tcBorders>
              <w:left w:val="single" w:sz="4" w:space="0" w:color="auto"/>
            </w:tcBorders>
          </w:tcPr>
          <w:p w14:paraId="76582D93" w14:textId="77777777" w:rsidR="00707E13" w:rsidRPr="005756A6" w:rsidRDefault="00707E13" w:rsidP="00566BB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b/>
                <w:sz w:val="20"/>
                <w:szCs w:val="20"/>
              </w:rPr>
            </w:pPr>
            <w:r w:rsidRPr="005756A6">
              <w:rPr>
                <w:rFonts w:ascii="Garamond" w:hAnsi="Garamond" w:cs="Times New Roman"/>
                <w:b/>
                <w:sz w:val="20"/>
                <w:szCs w:val="20"/>
              </w:rPr>
              <w:t>Pre-</w:t>
            </w:r>
          </w:p>
        </w:tc>
        <w:tc>
          <w:tcPr>
            <w:tcW w:w="808" w:type="dxa"/>
          </w:tcPr>
          <w:p w14:paraId="2FD95D62" w14:textId="77777777" w:rsidR="00707E13" w:rsidRPr="005756A6" w:rsidRDefault="00707E13" w:rsidP="00566BB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b/>
                <w:sz w:val="20"/>
                <w:szCs w:val="20"/>
              </w:rPr>
            </w:pPr>
            <w:r w:rsidRPr="005756A6">
              <w:rPr>
                <w:rFonts w:ascii="Garamond" w:hAnsi="Garamond" w:cs="Times New Roman"/>
                <w:b/>
                <w:sz w:val="20"/>
                <w:szCs w:val="20"/>
              </w:rPr>
              <w:t>Post-</w:t>
            </w:r>
          </w:p>
        </w:tc>
        <w:tc>
          <w:tcPr>
            <w:tcW w:w="928" w:type="dxa"/>
            <w:tcBorders>
              <w:right w:val="single" w:sz="4" w:space="0" w:color="auto"/>
            </w:tcBorders>
          </w:tcPr>
          <w:p w14:paraId="40E0518B" w14:textId="77777777" w:rsidR="00707E13" w:rsidRPr="005756A6" w:rsidRDefault="00707E13" w:rsidP="00566BB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b/>
                <w:sz w:val="20"/>
                <w:szCs w:val="20"/>
              </w:rPr>
            </w:pPr>
            <w:r w:rsidRPr="005756A6">
              <w:rPr>
                <w:rFonts w:ascii="Garamond" w:hAnsi="Garamond" w:cs="Times New Roman"/>
                <w:b/>
                <w:sz w:val="20"/>
                <w:szCs w:val="20"/>
              </w:rPr>
              <w:t>Change</w:t>
            </w:r>
          </w:p>
        </w:tc>
        <w:tc>
          <w:tcPr>
            <w:tcW w:w="1404" w:type="dxa"/>
            <w:tcBorders>
              <w:left w:val="single" w:sz="4" w:space="0" w:color="auto"/>
              <w:right w:val="single" w:sz="4" w:space="0" w:color="auto"/>
            </w:tcBorders>
          </w:tcPr>
          <w:p w14:paraId="78A50C45" w14:textId="77777777" w:rsidR="00707E13" w:rsidRPr="005756A6" w:rsidRDefault="00707E13" w:rsidP="00566BB9">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b/>
                <w:sz w:val="20"/>
                <w:szCs w:val="20"/>
              </w:rPr>
            </w:pPr>
            <w:r w:rsidRPr="005756A6">
              <w:rPr>
                <w:rFonts w:ascii="Garamond" w:hAnsi="Garamond" w:cs="Times New Roman"/>
                <w:b/>
                <w:sz w:val="20"/>
                <w:szCs w:val="20"/>
              </w:rPr>
              <w:t>Diff. Sig. At p&lt;.01?</w:t>
            </w:r>
          </w:p>
        </w:tc>
      </w:tr>
      <w:tr w:rsidR="00E37B9D" w:rsidRPr="005756A6" w14:paraId="4C2E939A" w14:textId="77777777" w:rsidTr="00E37B9D">
        <w:tc>
          <w:tcPr>
            <w:cnfStyle w:val="001000000000" w:firstRow="0" w:lastRow="0" w:firstColumn="1" w:lastColumn="0" w:oddVBand="0" w:evenVBand="0" w:oddHBand="0" w:evenHBand="0" w:firstRowFirstColumn="0" w:firstRowLastColumn="0" w:lastRowFirstColumn="0" w:lastRowLastColumn="0"/>
            <w:tcW w:w="3602" w:type="dxa"/>
            <w:tcBorders>
              <w:left w:val="single" w:sz="4" w:space="0" w:color="auto"/>
              <w:right w:val="single" w:sz="4" w:space="0" w:color="auto"/>
            </w:tcBorders>
          </w:tcPr>
          <w:p w14:paraId="586B2BD6" w14:textId="77777777" w:rsidR="00E37B9D" w:rsidRPr="005756A6" w:rsidRDefault="00E37B9D" w:rsidP="00E37B9D">
            <w:pPr>
              <w:rPr>
                <w:rFonts w:ascii="Garamond" w:hAnsi="Garamond" w:cs="Times New Roman"/>
                <w:b w:val="0"/>
                <w:sz w:val="20"/>
                <w:szCs w:val="20"/>
              </w:rPr>
            </w:pPr>
            <w:r w:rsidRPr="005756A6">
              <w:rPr>
                <w:rFonts w:ascii="Garamond" w:hAnsi="Garamond" w:cs="Times New Roman"/>
                <w:sz w:val="20"/>
                <w:szCs w:val="20"/>
              </w:rPr>
              <w:t>Rep. Primary Ballot</w:t>
            </w:r>
          </w:p>
          <w:p w14:paraId="72131803" w14:textId="227DA662" w:rsidR="00E37B9D" w:rsidRPr="005756A6" w:rsidRDefault="00E37B9D" w:rsidP="00E37B9D">
            <w:pPr>
              <w:rPr>
                <w:rFonts w:ascii="Garamond" w:hAnsi="Garamond" w:cs="Times New Roman"/>
                <w:sz w:val="20"/>
                <w:szCs w:val="20"/>
              </w:rPr>
            </w:pPr>
            <w:r w:rsidRPr="005756A6">
              <w:rPr>
                <w:rFonts w:ascii="Garamond" w:hAnsi="Garamond" w:cs="Times New Roman"/>
                <w:b w:val="0"/>
                <w:sz w:val="20"/>
                <w:szCs w:val="20"/>
              </w:rPr>
              <w:t>Abbott Margin</w:t>
            </w:r>
          </w:p>
        </w:tc>
        <w:tc>
          <w:tcPr>
            <w:tcW w:w="807" w:type="dxa"/>
            <w:tcBorders>
              <w:left w:val="single" w:sz="4" w:space="0" w:color="auto"/>
            </w:tcBorders>
          </w:tcPr>
          <w:p w14:paraId="4964B7D2"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0"/>
                <w:szCs w:val="20"/>
              </w:rPr>
            </w:pPr>
          </w:p>
          <w:p w14:paraId="618D12B7" w14:textId="37ECD24D"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0"/>
                <w:szCs w:val="20"/>
              </w:rPr>
            </w:pPr>
            <w:r w:rsidRPr="005756A6">
              <w:rPr>
                <w:rFonts w:ascii="Garamond" w:hAnsi="Garamond" w:cs="Times New Roman"/>
                <w:sz w:val="20"/>
                <w:szCs w:val="20"/>
              </w:rPr>
              <w:t>+34</w:t>
            </w:r>
          </w:p>
        </w:tc>
        <w:tc>
          <w:tcPr>
            <w:tcW w:w="808" w:type="dxa"/>
          </w:tcPr>
          <w:p w14:paraId="134C93BD"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0"/>
                <w:szCs w:val="20"/>
              </w:rPr>
            </w:pPr>
          </w:p>
          <w:p w14:paraId="7C13D869" w14:textId="7BCC833D"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0"/>
                <w:szCs w:val="20"/>
              </w:rPr>
            </w:pPr>
            <w:r w:rsidRPr="005756A6">
              <w:rPr>
                <w:rFonts w:ascii="Garamond" w:hAnsi="Garamond" w:cs="Times New Roman"/>
                <w:sz w:val="20"/>
                <w:szCs w:val="20"/>
              </w:rPr>
              <w:t>+46</w:t>
            </w:r>
          </w:p>
        </w:tc>
        <w:tc>
          <w:tcPr>
            <w:tcW w:w="987" w:type="dxa"/>
            <w:tcBorders>
              <w:right w:val="single" w:sz="4" w:space="0" w:color="auto"/>
            </w:tcBorders>
          </w:tcPr>
          <w:p w14:paraId="6FD3A33C"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b/>
                <w:sz w:val="20"/>
                <w:szCs w:val="20"/>
              </w:rPr>
            </w:pPr>
          </w:p>
          <w:p w14:paraId="20621D7F" w14:textId="252A1A2D"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b/>
                <w:sz w:val="20"/>
                <w:szCs w:val="20"/>
              </w:rPr>
            </w:pPr>
            <w:r w:rsidRPr="005756A6">
              <w:rPr>
                <w:rFonts w:ascii="Garamond" w:hAnsi="Garamond" w:cs="Times New Roman"/>
                <w:b/>
                <w:sz w:val="20"/>
                <w:szCs w:val="20"/>
              </w:rPr>
              <w:t>+12***</w:t>
            </w:r>
          </w:p>
        </w:tc>
        <w:tc>
          <w:tcPr>
            <w:tcW w:w="808" w:type="dxa"/>
            <w:tcBorders>
              <w:left w:val="single" w:sz="4" w:space="0" w:color="auto"/>
            </w:tcBorders>
          </w:tcPr>
          <w:p w14:paraId="5B3B010B"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0"/>
                <w:szCs w:val="20"/>
              </w:rPr>
            </w:pPr>
          </w:p>
          <w:p w14:paraId="6F125398" w14:textId="01A3F4E4"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0"/>
                <w:szCs w:val="20"/>
              </w:rPr>
            </w:pPr>
            <w:r w:rsidRPr="005756A6">
              <w:rPr>
                <w:rFonts w:ascii="Garamond" w:hAnsi="Garamond" w:cs="Times New Roman"/>
                <w:sz w:val="20"/>
                <w:szCs w:val="20"/>
              </w:rPr>
              <w:t>+40</w:t>
            </w:r>
          </w:p>
        </w:tc>
        <w:tc>
          <w:tcPr>
            <w:tcW w:w="808" w:type="dxa"/>
          </w:tcPr>
          <w:p w14:paraId="09F685E7"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0"/>
                <w:szCs w:val="20"/>
              </w:rPr>
            </w:pPr>
          </w:p>
          <w:p w14:paraId="2D1DF2D8" w14:textId="517BB5CD"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0"/>
                <w:szCs w:val="20"/>
              </w:rPr>
            </w:pPr>
            <w:r w:rsidRPr="005756A6">
              <w:rPr>
                <w:rFonts w:ascii="Garamond" w:hAnsi="Garamond" w:cs="Times New Roman"/>
                <w:sz w:val="20"/>
                <w:szCs w:val="20"/>
              </w:rPr>
              <w:t>+46</w:t>
            </w:r>
          </w:p>
        </w:tc>
        <w:tc>
          <w:tcPr>
            <w:tcW w:w="928" w:type="dxa"/>
            <w:tcBorders>
              <w:right w:val="single" w:sz="4" w:space="0" w:color="auto"/>
            </w:tcBorders>
          </w:tcPr>
          <w:p w14:paraId="11FA585F"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b/>
                <w:sz w:val="20"/>
                <w:szCs w:val="20"/>
              </w:rPr>
            </w:pPr>
          </w:p>
          <w:p w14:paraId="70FA0F6C" w14:textId="4C1CFD0B"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b/>
                <w:sz w:val="20"/>
                <w:szCs w:val="20"/>
              </w:rPr>
            </w:pPr>
            <w:r w:rsidRPr="005756A6">
              <w:rPr>
                <w:rFonts w:ascii="Garamond" w:hAnsi="Garamond" w:cs="Times New Roman"/>
                <w:b/>
                <w:sz w:val="20"/>
                <w:szCs w:val="20"/>
              </w:rPr>
              <w:t>+6*</w:t>
            </w:r>
          </w:p>
        </w:tc>
        <w:tc>
          <w:tcPr>
            <w:tcW w:w="1404" w:type="dxa"/>
            <w:tcBorders>
              <w:left w:val="single" w:sz="4" w:space="0" w:color="auto"/>
              <w:right w:val="single" w:sz="4" w:space="0" w:color="auto"/>
            </w:tcBorders>
          </w:tcPr>
          <w:p w14:paraId="0F24623F"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b/>
                <w:sz w:val="20"/>
                <w:szCs w:val="20"/>
              </w:rPr>
            </w:pPr>
          </w:p>
          <w:p w14:paraId="442EA2F6" w14:textId="01D9B6CC"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b/>
                <w:sz w:val="20"/>
                <w:szCs w:val="20"/>
              </w:rPr>
            </w:pPr>
            <w:r w:rsidRPr="005756A6">
              <w:rPr>
                <w:rFonts w:ascii="Garamond" w:hAnsi="Garamond" w:cs="Times New Roman"/>
                <w:b/>
                <w:sz w:val="20"/>
                <w:szCs w:val="20"/>
              </w:rPr>
              <w:t>Yes</w:t>
            </w:r>
          </w:p>
        </w:tc>
      </w:tr>
      <w:tr w:rsidR="00E37B9D" w:rsidRPr="005756A6" w14:paraId="0D0EA0DB" w14:textId="77777777" w:rsidTr="00E37B9D">
        <w:tc>
          <w:tcPr>
            <w:cnfStyle w:val="001000000000" w:firstRow="0" w:lastRow="0" w:firstColumn="1" w:lastColumn="0" w:oddVBand="0" w:evenVBand="0" w:oddHBand="0" w:evenHBand="0" w:firstRowFirstColumn="0" w:firstRowLastColumn="0" w:lastRowFirstColumn="0" w:lastRowLastColumn="0"/>
            <w:tcW w:w="3602" w:type="dxa"/>
            <w:tcBorders>
              <w:left w:val="single" w:sz="4" w:space="0" w:color="auto"/>
              <w:right w:val="single" w:sz="4" w:space="0" w:color="auto"/>
            </w:tcBorders>
          </w:tcPr>
          <w:p w14:paraId="3EFF8C24" w14:textId="77777777" w:rsidR="00E37B9D" w:rsidRPr="005756A6" w:rsidRDefault="00E37B9D" w:rsidP="00E37B9D">
            <w:pPr>
              <w:rPr>
                <w:rFonts w:ascii="Garamond" w:hAnsi="Garamond" w:cs="Times New Roman"/>
                <w:b w:val="0"/>
                <w:sz w:val="20"/>
                <w:szCs w:val="20"/>
              </w:rPr>
            </w:pPr>
            <w:r w:rsidRPr="005756A6">
              <w:rPr>
                <w:rFonts w:ascii="Garamond" w:hAnsi="Garamond" w:cs="Times New Roman"/>
                <w:sz w:val="20"/>
                <w:szCs w:val="20"/>
              </w:rPr>
              <w:t>Greg Abbott Favorability</w:t>
            </w:r>
          </w:p>
          <w:p w14:paraId="6CB00F13" w14:textId="77777777" w:rsidR="00E37B9D" w:rsidRPr="005756A6" w:rsidRDefault="00E37B9D" w:rsidP="00E37B9D">
            <w:pPr>
              <w:rPr>
                <w:rFonts w:ascii="Garamond" w:hAnsi="Garamond" w:cs="Times New Roman"/>
                <w:b w:val="0"/>
                <w:sz w:val="20"/>
                <w:szCs w:val="20"/>
              </w:rPr>
            </w:pPr>
            <w:r w:rsidRPr="005756A6">
              <w:rPr>
                <w:rFonts w:ascii="Garamond" w:hAnsi="Garamond" w:cs="Times New Roman"/>
                <w:b w:val="0"/>
                <w:sz w:val="20"/>
                <w:szCs w:val="20"/>
              </w:rPr>
              <w:t>Fav. – Unfav.</w:t>
            </w:r>
          </w:p>
        </w:tc>
        <w:tc>
          <w:tcPr>
            <w:tcW w:w="807" w:type="dxa"/>
            <w:tcBorders>
              <w:left w:val="single" w:sz="4" w:space="0" w:color="auto"/>
            </w:tcBorders>
          </w:tcPr>
          <w:p w14:paraId="393F4F7A"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0"/>
                <w:szCs w:val="20"/>
              </w:rPr>
            </w:pPr>
          </w:p>
          <w:p w14:paraId="4CD8D3A9"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0"/>
                <w:szCs w:val="20"/>
              </w:rPr>
            </w:pPr>
            <w:r w:rsidRPr="005756A6">
              <w:rPr>
                <w:rFonts w:ascii="Garamond" w:hAnsi="Garamond" w:cs="Times New Roman"/>
                <w:sz w:val="20"/>
                <w:szCs w:val="20"/>
              </w:rPr>
              <w:t>+22</w:t>
            </w:r>
          </w:p>
        </w:tc>
        <w:tc>
          <w:tcPr>
            <w:tcW w:w="808" w:type="dxa"/>
          </w:tcPr>
          <w:p w14:paraId="353CDA27"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0"/>
                <w:szCs w:val="20"/>
              </w:rPr>
            </w:pPr>
          </w:p>
          <w:p w14:paraId="7A89E940"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0"/>
                <w:szCs w:val="20"/>
              </w:rPr>
            </w:pPr>
            <w:r w:rsidRPr="005756A6">
              <w:rPr>
                <w:rFonts w:ascii="Garamond" w:hAnsi="Garamond" w:cs="Times New Roman"/>
                <w:sz w:val="20"/>
                <w:szCs w:val="20"/>
              </w:rPr>
              <w:t>+29</w:t>
            </w:r>
          </w:p>
        </w:tc>
        <w:tc>
          <w:tcPr>
            <w:tcW w:w="987" w:type="dxa"/>
            <w:tcBorders>
              <w:right w:val="single" w:sz="4" w:space="0" w:color="auto"/>
            </w:tcBorders>
          </w:tcPr>
          <w:p w14:paraId="17C62959"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b/>
                <w:sz w:val="20"/>
                <w:szCs w:val="20"/>
              </w:rPr>
            </w:pPr>
          </w:p>
          <w:p w14:paraId="282D00CB"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b/>
                <w:sz w:val="20"/>
                <w:szCs w:val="20"/>
              </w:rPr>
            </w:pPr>
            <w:r w:rsidRPr="005756A6">
              <w:rPr>
                <w:rFonts w:ascii="Garamond" w:hAnsi="Garamond" w:cs="Times New Roman"/>
                <w:b/>
                <w:sz w:val="20"/>
                <w:szCs w:val="20"/>
              </w:rPr>
              <w:t>+7***</w:t>
            </w:r>
          </w:p>
        </w:tc>
        <w:tc>
          <w:tcPr>
            <w:tcW w:w="808" w:type="dxa"/>
            <w:tcBorders>
              <w:left w:val="single" w:sz="4" w:space="0" w:color="auto"/>
            </w:tcBorders>
          </w:tcPr>
          <w:p w14:paraId="61842DD5"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0"/>
                <w:szCs w:val="20"/>
              </w:rPr>
            </w:pPr>
          </w:p>
          <w:p w14:paraId="26DF262A"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0"/>
                <w:szCs w:val="20"/>
              </w:rPr>
            </w:pPr>
            <w:r w:rsidRPr="005756A6">
              <w:rPr>
                <w:rFonts w:ascii="Garamond" w:hAnsi="Garamond" w:cs="Times New Roman"/>
                <w:sz w:val="20"/>
                <w:szCs w:val="20"/>
              </w:rPr>
              <w:t>+28</w:t>
            </w:r>
          </w:p>
        </w:tc>
        <w:tc>
          <w:tcPr>
            <w:tcW w:w="808" w:type="dxa"/>
          </w:tcPr>
          <w:p w14:paraId="59C7CE4E"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0"/>
                <w:szCs w:val="20"/>
              </w:rPr>
            </w:pPr>
          </w:p>
          <w:p w14:paraId="61427740"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0"/>
                <w:szCs w:val="20"/>
              </w:rPr>
            </w:pPr>
            <w:r w:rsidRPr="005756A6">
              <w:rPr>
                <w:rFonts w:ascii="Garamond" w:hAnsi="Garamond" w:cs="Times New Roman"/>
                <w:sz w:val="20"/>
                <w:szCs w:val="20"/>
              </w:rPr>
              <w:t>+27</w:t>
            </w:r>
          </w:p>
        </w:tc>
        <w:tc>
          <w:tcPr>
            <w:tcW w:w="928" w:type="dxa"/>
            <w:tcBorders>
              <w:right w:val="single" w:sz="4" w:space="0" w:color="auto"/>
            </w:tcBorders>
          </w:tcPr>
          <w:p w14:paraId="4DE5C830"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b/>
                <w:sz w:val="20"/>
                <w:szCs w:val="20"/>
              </w:rPr>
            </w:pPr>
          </w:p>
          <w:p w14:paraId="033DAF89"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b/>
                <w:sz w:val="20"/>
                <w:szCs w:val="20"/>
              </w:rPr>
            </w:pPr>
            <w:r w:rsidRPr="005756A6">
              <w:rPr>
                <w:rFonts w:ascii="Garamond" w:hAnsi="Garamond" w:cs="Times New Roman"/>
                <w:b/>
                <w:sz w:val="20"/>
                <w:szCs w:val="20"/>
              </w:rPr>
              <w:t>-1</w:t>
            </w:r>
          </w:p>
        </w:tc>
        <w:tc>
          <w:tcPr>
            <w:tcW w:w="1404" w:type="dxa"/>
            <w:tcBorders>
              <w:left w:val="single" w:sz="4" w:space="0" w:color="auto"/>
              <w:right w:val="single" w:sz="4" w:space="0" w:color="auto"/>
            </w:tcBorders>
          </w:tcPr>
          <w:p w14:paraId="7083C2EE"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b/>
                <w:sz w:val="20"/>
                <w:szCs w:val="20"/>
              </w:rPr>
            </w:pPr>
          </w:p>
          <w:p w14:paraId="09DA0C18"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b/>
                <w:sz w:val="20"/>
                <w:szCs w:val="20"/>
              </w:rPr>
            </w:pPr>
            <w:r w:rsidRPr="005756A6">
              <w:rPr>
                <w:rFonts w:ascii="Garamond" w:hAnsi="Garamond" w:cs="Times New Roman"/>
                <w:b/>
                <w:sz w:val="20"/>
                <w:szCs w:val="20"/>
              </w:rPr>
              <w:t>Yes</w:t>
            </w:r>
          </w:p>
        </w:tc>
      </w:tr>
      <w:tr w:rsidR="00E37B9D" w:rsidRPr="005756A6" w14:paraId="780B802E" w14:textId="77777777" w:rsidTr="00E37B9D">
        <w:tc>
          <w:tcPr>
            <w:cnfStyle w:val="001000000000" w:firstRow="0" w:lastRow="0" w:firstColumn="1" w:lastColumn="0" w:oddVBand="0" w:evenVBand="0" w:oddHBand="0" w:evenHBand="0" w:firstRowFirstColumn="0" w:firstRowLastColumn="0" w:lastRowFirstColumn="0" w:lastRowLastColumn="0"/>
            <w:tcW w:w="3602" w:type="dxa"/>
            <w:tcBorders>
              <w:left w:val="single" w:sz="4" w:space="0" w:color="auto"/>
              <w:right w:val="single" w:sz="4" w:space="0" w:color="auto"/>
            </w:tcBorders>
          </w:tcPr>
          <w:p w14:paraId="053DA484" w14:textId="77777777" w:rsidR="00E37B9D" w:rsidRPr="005756A6" w:rsidRDefault="00E37B9D" w:rsidP="00E37B9D">
            <w:pPr>
              <w:rPr>
                <w:rFonts w:ascii="Garamond" w:hAnsi="Garamond" w:cs="Times New Roman"/>
                <w:b w:val="0"/>
                <w:sz w:val="20"/>
                <w:szCs w:val="20"/>
              </w:rPr>
            </w:pPr>
            <w:r w:rsidRPr="005756A6">
              <w:rPr>
                <w:rFonts w:ascii="Garamond" w:hAnsi="Garamond" w:cs="Times New Roman"/>
                <w:sz w:val="20"/>
                <w:szCs w:val="20"/>
              </w:rPr>
              <w:t>Wendy Davis Favorability</w:t>
            </w:r>
          </w:p>
          <w:p w14:paraId="28DCFCD9" w14:textId="77777777" w:rsidR="00E37B9D" w:rsidRPr="005756A6" w:rsidRDefault="00E37B9D" w:rsidP="00E37B9D">
            <w:pPr>
              <w:rPr>
                <w:rFonts w:ascii="Garamond" w:hAnsi="Garamond" w:cs="Times New Roman"/>
                <w:b w:val="0"/>
                <w:sz w:val="20"/>
                <w:szCs w:val="20"/>
              </w:rPr>
            </w:pPr>
            <w:r w:rsidRPr="005756A6">
              <w:rPr>
                <w:rFonts w:ascii="Garamond" w:hAnsi="Garamond" w:cs="Times New Roman"/>
                <w:b w:val="0"/>
                <w:sz w:val="20"/>
                <w:szCs w:val="20"/>
              </w:rPr>
              <w:t>Fav. – Unfav.</w:t>
            </w:r>
          </w:p>
        </w:tc>
        <w:tc>
          <w:tcPr>
            <w:tcW w:w="807" w:type="dxa"/>
            <w:tcBorders>
              <w:left w:val="single" w:sz="4" w:space="0" w:color="auto"/>
            </w:tcBorders>
          </w:tcPr>
          <w:p w14:paraId="40DCE0B5"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0"/>
                <w:szCs w:val="20"/>
              </w:rPr>
            </w:pPr>
          </w:p>
          <w:p w14:paraId="74A54B5B"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0"/>
                <w:szCs w:val="20"/>
              </w:rPr>
            </w:pPr>
            <w:r w:rsidRPr="005756A6">
              <w:rPr>
                <w:rFonts w:ascii="Garamond" w:hAnsi="Garamond" w:cs="Times New Roman"/>
                <w:sz w:val="20"/>
                <w:szCs w:val="20"/>
              </w:rPr>
              <w:t>-27</w:t>
            </w:r>
          </w:p>
        </w:tc>
        <w:tc>
          <w:tcPr>
            <w:tcW w:w="808" w:type="dxa"/>
          </w:tcPr>
          <w:p w14:paraId="0448C677"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0"/>
                <w:szCs w:val="20"/>
              </w:rPr>
            </w:pPr>
          </w:p>
          <w:p w14:paraId="76F285FD"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0"/>
                <w:szCs w:val="20"/>
              </w:rPr>
            </w:pPr>
            <w:r w:rsidRPr="005756A6">
              <w:rPr>
                <w:rFonts w:ascii="Garamond" w:hAnsi="Garamond" w:cs="Times New Roman"/>
                <w:sz w:val="20"/>
                <w:szCs w:val="20"/>
              </w:rPr>
              <w:t>-24</w:t>
            </w:r>
          </w:p>
        </w:tc>
        <w:tc>
          <w:tcPr>
            <w:tcW w:w="987" w:type="dxa"/>
            <w:tcBorders>
              <w:right w:val="single" w:sz="4" w:space="0" w:color="auto"/>
            </w:tcBorders>
          </w:tcPr>
          <w:p w14:paraId="510B350B"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b/>
                <w:sz w:val="20"/>
                <w:szCs w:val="20"/>
              </w:rPr>
            </w:pPr>
          </w:p>
          <w:p w14:paraId="35FEC3D5"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b/>
                <w:sz w:val="20"/>
                <w:szCs w:val="20"/>
              </w:rPr>
            </w:pPr>
            <w:r w:rsidRPr="005756A6">
              <w:rPr>
                <w:rFonts w:ascii="Garamond" w:hAnsi="Garamond" w:cs="Times New Roman"/>
                <w:b/>
                <w:sz w:val="20"/>
                <w:szCs w:val="20"/>
              </w:rPr>
              <w:t>+3*</w:t>
            </w:r>
          </w:p>
        </w:tc>
        <w:tc>
          <w:tcPr>
            <w:tcW w:w="808" w:type="dxa"/>
            <w:tcBorders>
              <w:left w:val="single" w:sz="4" w:space="0" w:color="auto"/>
            </w:tcBorders>
          </w:tcPr>
          <w:p w14:paraId="09AB9E3F"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0"/>
                <w:szCs w:val="20"/>
              </w:rPr>
            </w:pPr>
          </w:p>
          <w:p w14:paraId="17E27E87"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0"/>
                <w:szCs w:val="20"/>
              </w:rPr>
            </w:pPr>
            <w:r w:rsidRPr="005756A6">
              <w:rPr>
                <w:rFonts w:ascii="Garamond" w:hAnsi="Garamond" w:cs="Times New Roman"/>
                <w:sz w:val="20"/>
                <w:szCs w:val="20"/>
              </w:rPr>
              <w:t>-23</w:t>
            </w:r>
          </w:p>
        </w:tc>
        <w:tc>
          <w:tcPr>
            <w:tcW w:w="808" w:type="dxa"/>
          </w:tcPr>
          <w:p w14:paraId="671CB7E3"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0"/>
                <w:szCs w:val="20"/>
              </w:rPr>
            </w:pPr>
          </w:p>
          <w:p w14:paraId="53C77E2B"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0"/>
                <w:szCs w:val="20"/>
              </w:rPr>
            </w:pPr>
            <w:r w:rsidRPr="005756A6">
              <w:rPr>
                <w:rFonts w:ascii="Garamond" w:hAnsi="Garamond" w:cs="Times New Roman"/>
                <w:sz w:val="20"/>
                <w:szCs w:val="20"/>
              </w:rPr>
              <w:t>-25</w:t>
            </w:r>
          </w:p>
        </w:tc>
        <w:tc>
          <w:tcPr>
            <w:tcW w:w="928" w:type="dxa"/>
            <w:tcBorders>
              <w:right w:val="single" w:sz="4" w:space="0" w:color="auto"/>
            </w:tcBorders>
          </w:tcPr>
          <w:p w14:paraId="27401762"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b/>
                <w:sz w:val="20"/>
                <w:szCs w:val="20"/>
              </w:rPr>
            </w:pPr>
          </w:p>
          <w:p w14:paraId="60CDC352"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b/>
                <w:sz w:val="20"/>
                <w:szCs w:val="20"/>
              </w:rPr>
            </w:pPr>
            <w:r w:rsidRPr="005756A6">
              <w:rPr>
                <w:rFonts w:ascii="Garamond" w:hAnsi="Garamond" w:cs="Times New Roman"/>
                <w:b/>
                <w:sz w:val="20"/>
                <w:szCs w:val="20"/>
              </w:rPr>
              <w:t>-2</w:t>
            </w:r>
          </w:p>
        </w:tc>
        <w:tc>
          <w:tcPr>
            <w:tcW w:w="1404" w:type="dxa"/>
            <w:tcBorders>
              <w:left w:val="single" w:sz="4" w:space="0" w:color="auto"/>
              <w:right w:val="single" w:sz="4" w:space="0" w:color="auto"/>
            </w:tcBorders>
          </w:tcPr>
          <w:p w14:paraId="50CB0DE2"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b/>
                <w:sz w:val="20"/>
                <w:szCs w:val="20"/>
              </w:rPr>
            </w:pPr>
          </w:p>
          <w:p w14:paraId="18E082ED"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b/>
                <w:sz w:val="20"/>
                <w:szCs w:val="20"/>
              </w:rPr>
            </w:pPr>
            <w:r w:rsidRPr="005756A6">
              <w:rPr>
                <w:rFonts w:ascii="Garamond" w:hAnsi="Garamond" w:cs="Times New Roman"/>
                <w:b/>
                <w:sz w:val="20"/>
                <w:szCs w:val="20"/>
              </w:rPr>
              <w:t>No</w:t>
            </w:r>
          </w:p>
        </w:tc>
      </w:tr>
      <w:tr w:rsidR="00E37B9D" w:rsidRPr="005756A6" w14:paraId="19D093BE" w14:textId="77777777" w:rsidTr="00E37B9D">
        <w:tc>
          <w:tcPr>
            <w:cnfStyle w:val="001000000000" w:firstRow="0" w:lastRow="0" w:firstColumn="1" w:lastColumn="0" w:oddVBand="0" w:evenVBand="0" w:oddHBand="0" w:evenHBand="0" w:firstRowFirstColumn="0" w:firstRowLastColumn="0" w:lastRowFirstColumn="0" w:lastRowLastColumn="0"/>
            <w:tcW w:w="3602" w:type="dxa"/>
            <w:tcBorders>
              <w:left w:val="single" w:sz="4" w:space="0" w:color="auto"/>
              <w:bottom w:val="single" w:sz="4" w:space="0" w:color="auto"/>
              <w:right w:val="single" w:sz="4" w:space="0" w:color="auto"/>
            </w:tcBorders>
          </w:tcPr>
          <w:p w14:paraId="6C416CDA" w14:textId="77777777" w:rsidR="00E37B9D" w:rsidRPr="005756A6" w:rsidRDefault="00E37B9D" w:rsidP="00E37B9D">
            <w:pPr>
              <w:rPr>
                <w:rFonts w:ascii="Garamond" w:hAnsi="Garamond" w:cs="Times New Roman"/>
                <w:b w:val="0"/>
                <w:sz w:val="20"/>
                <w:szCs w:val="20"/>
              </w:rPr>
            </w:pPr>
            <w:r w:rsidRPr="005756A6">
              <w:rPr>
                <w:rFonts w:ascii="Garamond" w:hAnsi="Garamond" w:cs="Times New Roman"/>
                <w:sz w:val="20"/>
                <w:szCs w:val="20"/>
              </w:rPr>
              <w:t>“Have you read, seen, or heard anything from the Abbott Campaign for Governor in the past week?”</w:t>
            </w:r>
          </w:p>
          <w:p w14:paraId="24F9E90C" w14:textId="77777777" w:rsidR="00E37B9D" w:rsidRPr="005756A6" w:rsidRDefault="00E37B9D" w:rsidP="00E37B9D">
            <w:pPr>
              <w:rPr>
                <w:rFonts w:ascii="Garamond" w:hAnsi="Garamond" w:cs="Times New Roman"/>
                <w:b w:val="0"/>
                <w:sz w:val="20"/>
                <w:szCs w:val="20"/>
              </w:rPr>
            </w:pPr>
            <w:r w:rsidRPr="005756A6">
              <w:rPr>
                <w:rFonts w:ascii="Garamond" w:hAnsi="Garamond" w:cs="Times New Roman"/>
                <w:b w:val="0"/>
                <w:sz w:val="20"/>
                <w:szCs w:val="20"/>
              </w:rPr>
              <w:t>Yes - No</w:t>
            </w:r>
          </w:p>
        </w:tc>
        <w:tc>
          <w:tcPr>
            <w:tcW w:w="807" w:type="dxa"/>
            <w:tcBorders>
              <w:left w:val="single" w:sz="4" w:space="0" w:color="auto"/>
              <w:bottom w:val="single" w:sz="4" w:space="0" w:color="auto"/>
            </w:tcBorders>
          </w:tcPr>
          <w:p w14:paraId="226E42F5"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0"/>
                <w:szCs w:val="20"/>
              </w:rPr>
            </w:pPr>
          </w:p>
          <w:p w14:paraId="7B0B836C"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0"/>
                <w:szCs w:val="20"/>
              </w:rPr>
            </w:pPr>
          </w:p>
          <w:p w14:paraId="03BDBEF3"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0"/>
                <w:szCs w:val="20"/>
              </w:rPr>
            </w:pPr>
          </w:p>
          <w:p w14:paraId="2153155E"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0"/>
                <w:szCs w:val="20"/>
              </w:rPr>
            </w:pPr>
            <w:r w:rsidRPr="005756A6">
              <w:rPr>
                <w:rFonts w:ascii="Garamond" w:hAnsi="Garamond" w:cs="Times New Roman"/>
                <w:sz w:val="20"/>
                <w:szCs w:val="20"/>
              </w:rPr>
              <w:t>-24</w:t>
            </w:r>
          </w:p>
        </w:tc>
        <w:tc>
          <w:tcPr>
            <w:tcW w:w="808" w:type="dxa"/>
            <w:tcBorders>
              <w:bottom w:val="single" w:sz="4" w:space="0" w:color="auto"/>
            </w:tcBorders>
          </w:tcPr>
          <w:p w14:paraId="0B678D9F"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0"/>
                <w:szCs w:val="20"/>
              </w:rPr>
            </w:pPr>
          </w:p>
          <w:p w14:paraId="1EB0B167"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0"/>
                <w:szCs w:val="20"/>
              </w:rPr>
            </w:pPr>
          </w:p>
          <w:p w14:paraId="7B928F6F"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0"/>
                <w:szCs w:val="20"/>
              </w:rPr>
            </w:pPr>
          </w:p>
          <w:p w14:paraId="40959F6B"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0"/>
                <w:szCs w:val="20"/>
              </w:rPr>
            </w:pPr>
            <w:r w:rsidRPr="005756A6">
              <w:rPr>
                <w:rFonts w:ascii="Garamond" w:hAnsi="Garamond" w:cs="Times New Roman"/>
                <w:sz w:val="20"/>
                <w:szCs w:val="20"/>
              </w:rPr>
              <w:t>+17</w:t>
            </w:r>
          </w:p>
        </w:tc>
        <w:tc>
          <w:tcPr>
            <w:tcW w:w="987" w:type="dxa"/>
            <w:tcBorders>
              <w:bottom w:val="single" w:sz="4" w:space="0" w:color="auto"/>
              <w:right w:val="single" w:sz="4" w:space="0" w:color="auto"/>
            </w:tcBorders>
          </w:tcPr>
          <w:p w14:paraId="47119CB8"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b/>
                <w:sz w:val="20"/>
                <w:szCs w:val="20"/>
              </w:rPr>
            </w:pPr>
          </w:p>
          <w:p w14:paraId="09B61850"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b/>
                <w:sz w:val="20"/>
                <w:szCs w:val="20"/>
              </w:rPr>
            </w:pPr>
          </w:p>
          <w:p w14:paraId="29CF63E5"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b/>
                <w:sz w:val="20"/>
                <w:szCs w:val="20"/>
              </w:rPr>
            </w:pPr>
          </w:p>
          <w:p w14:paraId="14380FD3"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b/>
                <w:sz w:val="20"/>
                <w:szCs w:val="20"/>
              </w:rPr>
            </w:pPr>
            <w:r w:rsidRPr="005756A6">
              <w:rPr>
                <w:rFonts w:ascii="Garamond" w:hAnsi="Garamond" w:cs="Times New Roman"/>
                <w:b/>
                <w:sz w:val="20"/>
                <w:szCs w:val="20"/>
              </w:rPr>
              <w:t>+41***</w:t>
            </w:r>
          </w:p>
        </w:tc>
        <w:tc>
          <w:tcPr>
            <w:tcW w:w="808" w:type="dxa"/>
            <w:tcBorders>
              <w:left w:val="single" w:sz="4" w:space="0" w:color="auto"/>
              <w:bottom w:val="single" w:sz="4" w:space="0" w:color="auto"/>
            </w:tcBorders>
          </w:tcPr>
          <w:p w14:paraId="45C3DE01"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0"/>
                <w:szCs w:val="20"/>
              </w:rPr>
            </w:pPr>
          </w:p>
          <w:p w14:paraId="0628A9BA"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0"/>
                <w:szCs w:val="20"/>
              </w:rPr>
            </w:pPr>
          </w:p>
          <w:p w14:paraId="6104047C"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0"/>
                <w:szCs w:val="20"/>
              </w:rPr>
            </w:pPr>
          </w:p>
          <w:p w14:paraId="722CE08F"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0"/>
                <w:szCs w:val="20"/>
              </w:rPr>
            </w:pPr>
            <w:r w:rsidRPr="005756A6">
              <w:rPr>
                <w:rFonts w:ascii="Garamond" w:hAnsi="Garamond" w:cs="Times New Roman"/>
                <w:sz w:val="20"/>
                <w:szCs w:val="20"/>
              </w:rPr>
              <w:t>-21</w:t>
            </w:r>
          </w:p>
        </w:tc>
        <w:tc>
          <w:tcPr>
            <w:tcW w:w="808" w:type="dxa"/>
            <w:tcBorders>
              <w:bottom w:val="single" w:sz="4" w:space="0" w:color="auto"/>
            </w:tcBorders>
          </w:tcPr>
          <w:p w14:paraId="3EAFD425"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0"/>
                <w:szCs w:val="20"/>
              </w:rPr>
            </w:pPr>
          </w:p>
          <w:p w14:paraId="7A6A7591"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0"/>
                <w:szCs w:val="20"/>
              </w:rPr>
            </w:pPr>
          </w:p>
          <w:p w14:paraId="612D2B9E"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0"/>
                <w:szCs w:val="20"/>
              </w:rPr>
            </w:pPr>
          </w:p>
          <w:p w14:paraId="1CEF34A0"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sz w:val="20"/>
                <w:szCs w:val="20"/>
              </w:rPr>
            </w:pPr>
            <w:r w:rsidRPr="005756A6">
              <w:rPr>
                <w:rFonts w:ascii="Garamond" w:hAnsi="Garamond" w:cs="Times New Roman"/>
                <w:sz w:val="20"/>
                <w:szCs w:val="20"/>
              </w:rPr>
              <w:t>-5</w:t>
            </w:r>
          </w:p>
        </w:tc>
        <w:tc>
          <w:tcPr>
            <w:tcW w:w="928" w:type="dxa"/>
            <w:tcBorders>
              <w:bottom w:val="single" w:sz="4" w:space="0" w:color="auto"/>
              <w:right w:val="single" w:sz="4" w:space="0" w:color="auto"/>
            </w:tcBorders>
          </w:tcPr>
          <w:p w14:paraId="1FC2AB01"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b/>
                <w:sz w:val="20"/>
                <w:szCs w:val="20"/>
              </w:rPr>
            </w:pPr>
          </w:p>
          <w:p w14:paraId="0A2706C7"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b/>
                <w:sz w:val="20"/>
                <w:szCs w:val="20"/>
              </w:rPr>
            </w:pPr>
          </w:p>
          <w:p w14:paraId="163BC9BA"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b/>
                <w:sz w:val="20"/>
                <w:szCs w:val="20"/>
              </w:rPr>
            </w:pPr>
          </w:p>
          <w:p w14:paraId="0EB69859"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b/>
                <w:sz w:val="20"/>
                <w:szCs w:val="20"/>
              </w:rPr>
            </w:pPr>
            <w:r w:rsidRPr="005756A6">
              <w:rPr>
                <w:rFonts w:ascii="Garamond" w:hAnsi="Garamond" w:cs="Times New Roman"/>
                <w:b/>
                <w:sz w:val="20"/>
                <w:szCs w:val="20"/>
              </w:rPr>
              <w:t>+16**</w:t>
            </w:r>
          </w:p>
        </w:tc>
        <w:tc>
          <w:tcPr>
            <w:tcW w:w="1404" w:type="dxa"/>
            <w:tcBorders>
              <w:left w:val="single" w:sz="4" w:space="0" w:color="auto"/>
              <w:bottom w:val="single" w:sz="4" w:space="0" w:color="auto"/>
              <w:right w:val="single" w:sz="4" w:space="0" w:color="auto"/>
            </w:tcBorders>
          </w:tcPr>
          <w:p w14:paraId="0DFF5584"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b/>
                <w:sz w:val="20"/>
                <w:szCs w:val="20"/>
              </w:rPr>
            </w:pPr>
          </w:p>
          <w:p w14:paraId="178071DC"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b/>
                <w:sz w:val="20"/>
                <w:szCs w:val="20"/>
              </w:rPr>
            </w:pPr>
          </w:p>
          <w:p w14:paraId="359CD4A6"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b/>
                <w:sz w:val="20"/>
                <w:szCs w:val="20"/>
              </w:rPr>
            </w:pPr>
          </w:p>
          <w:p w14:paraId="5C96A1F8" w14:textId="77777777" w:rsidR="00E37B9D" w:rsidRPr="005756A6" w:rsidRDefault="00E37B9D" w:rsidP="00E37B9D">
            <w:pPr>
              <w:jc w:val="center"/>
              <w:cnfStyle w:val="000000000000" w:firstRow="0" w:lastRow="0" w:firstColumn="0" w:lastColumn="0" w:oddVBand="0" w:evenVBand="0" w:oddHBand="0" w:evenHBand="0" w:firstRowFirstColumn="0" w:firstRowLastColumn="0" w:lastRowFirstColumn="0" w:lastRowLastColumn="0"/>
              <w:rPr>
                <w:rFonts w:ascii="Garamond" w:hAnsi="Garamond" w:cs="Times New Roman"/>
                <w:b/>
                <w:sz w:val="20"/>
                <w:szCs w:val="20"/>
              </w:rPr>
            </w:pPr>
            <w:r w:rsidRPr="005756A6">
              <w:rPr>
                <w:rFonts w:ascii="Garamond" w:hAnsi="Garamond" w:cs="Times New Roman"/>
                <w:b/>
                <w:sz w:val="20"/>
                <w:szCs w:val="20"/>
              </w:rPr>
              <w:t>Yes</w:t>
            </w:r>
          </w:p>
        </w:tc>
      </w:tr>
    </w:tbl>
    <w:p w14:paraId="71C0A208" w14:textId="77777777" w:rsidR="00707E13" w:rsidRPr="005756A6" w:rsidRDefault="00707E13" w:rsidP="00707E13">
      <w:pPr>
        <w:spacing w:after="0" w:line="240" w:lineRule="auto"/>
        <w:rPr>
          <w:rFonts w:ascii="Garamond" w:hAnsi="Garamond" w:cs="Times New Roman"/>
        </w:rPr>
      </w:pPr>
    </w:p>
    <w:p w14:paraId="06150E16" w14:textId="77777777" w:rsidR="00707E13" w:rsidRPr="005756A6" w:rsidRDefault="00707E13" w:rsidP="00707E13">
      <w:pPr>
        <w:spacing w:after="0" w:line="240" w:lineRule="auto"/>
        <w:rPr>
          <w:rFonts w:ascii="Garamond" w:hAnsi="Garamond" w:cs="Times New Roman"/>
        </w:rPr>
      </w:pPr>
      <w:r w:rsidRPr="005756A6">
        <w:rPr>
          <w:rFonts w:ascii="Garamond" w:hAnsi="Garamond" w:cs="Times New Roman"/>
        </w:rPr>
        <w:t>Notes: Here we compare pre-election survey results (N=4,198) to those of the post-election (N=2,968). Significance estimates are derived from t-tests for means from independent samples. For the estimates of the significance of pre- to post-election survey change, they are based on net differences in the pre-election poll compared to net differences in the post-election poll. For example, we calculate the significance of Abbott’s pre-election ballot margin (+34) compared to his post-election margin (+46). Similarly, we compare net favorability scores and read/seen/heard versus not scores from the pre- and post-election surveys. For the estimates of the significance of the differences between treatment and control effects, we also rely on t-tests for means from independent samples.</w:t>
      </w:r>
    </w:p>
    <w:p w14:paraId="70CA1B29" w14:textId="77777777" w:rsidR="00707E13" w:rsidRPr="005756A6" w:rsidRDefault="00707E13" w:rsidP="00707E13">
      <w:pPr>
        <w:rPr>
          <w:rFonts w:ascii="Garamond" w:hAnsi="Garamond" w:cs="Times New Roman"/>
        </w:rPr>
      </w:pPr>
      <w:r w:rsidRPr="005756A6">
        <w:rPr>
          <w:rFonts w:ascii="Garamond" w:hAnsi="Garamond" w:cs="Times New Roman"/>
        </w:rPr>
        <w:t>***p&lt;.001, **p&lt;.01, *p&lt;.05.</w:t>
      </w:r>
    </w:p>
    <w:p w14:paraId="1480E471" w14:textId="77777777" w:rsidR="00707E13" w:rsidRPr="005756A6" w:rsidRDefault="00707E13" w:rsidP="00707E13">
      <w:pPr>
        <w:rPr>
          <w:rFonts w:ascii="Garamond" w:hAnsi="Garamond" w:cs="Times New Roman"/>
        </w:rPr>
      </w:pPr>
    </w:p>
    <w:p w14:paraId="2FC86FEF" w14:textId="77777777" w:rsidR="00707E13" w:rsidRPr="005756A6" w:rsidRDefault="00707E13" w:rsidP="00707E13">
      <w:pPr>
        <w:rPr>
          <w:rFonts w:ascii="Garamond" w:hAnsi="Garamond" w:cs="Times New Roman"/>
          <w:b/>
        </w:rPr>
      </w:pPr>
      <w:r w:rsidRPr="005756A6">
        <w:rPr>
          <w:rFonts w:ascii="Garamond" w:hAnsi="Garamond" w:cs="Times New Roman"/>
          <w:b/>
        </w:rPr>
        <w:br w:type="page"/>
      </w:r>
    </w:p>
    <w:p w14:paraId="1114EC4F" w14:textId="25B111CF" w:rsidR="00C47F95" w:rsidRPr="005756A6" w:rsidRDefault="00C47F95" w:rsidP="00C47F95">
      <w:pPr>
        <w:jc w:val="center"/>
        <w:rPr>
          <w:rFonts w:ascii="Garamond" w:hAnsi="Garamond" w:cs="Times New Roman"/>
        </w:rPr>
      </w:pPr>
    </w:p>
    <w:p w14:paraId="5707DF1F" w14:textId="343C5540" w:rsidR="00512B2B" w:rsidRPr="005756A6" w:rsidRDefault="00326028" w:rsidP="00C47F95">
      <w:pPr>
        <w:jc w:val="center"/>
        <w:rPr>
          <w:rFonts w:ascii="Garamond" w:hAnsi="Garamond" w:cs="Times New Roman"/>
        </w:rPr>
      </w:pPr>
      <w:r w:rsidRPr="005756A6">
        <w:rPr>
          <w:rFonts w:ascii="Garamond" w:hAnsi="Garamond" w:cs="Times New Roman"/>
          <w:noProof/>
        </w:rPr>
        <w:drawing>
          <wp:inline distT="0" distB="0" distL="0" distR="0" wp14:anchorId="738BFE8D" wp14:editId="769A3BE2">
            <wp:extent cx="4641850" cy="3380007"/>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3213" cy="3395562"/>
                    </a:xfrm>
                    <a:prstGeom prst="rect">
                      <a:avLst/>
                    </a:prstGeom>
                    <a:noFill/>
                  </pic:spPr>
                </pic:pic>
              </a:graphicData>
            </a:graphic>
          </wp:inline>
        </w:drawing>
      </w:r>
    </w:p>
    <w:p w14:paraId="1E4EE6CF" w14:textId="2514C4FF" w:rsidR="00BF53D6" w:rsidRPr="005756A6" w:rsidRDefault="00D34742" w:rsidP="00C47F95">
      <w:pPr>
        <w:jc w:val="center"/>
        <w:rPr>
          <w:rFonts w:ascii="Garamond" w:hAnsi="Garamond" w:cs="Times New Roman"/>
        </w:rPr>
      </w:pPr>
      <w:r w:rsidRPr="005756A6">
        <w:rPr>
          <w:rFonts w:ascii="Garamond" w:hAnsi="Garamond" w:cs="Times New Roman"/>
          <w:noProof/>
        </w:rPr>
        <w:drawing>
          <wp:inline distT="0" distB="0" distL="0" distR="0" wp14:anchorId="4E8F3296" wp14:editId="5E71C065">
            <wp:extent cx="4638043" cy="3381949"/>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3155" cy="3400260"/>
                    </a:xfrm>
                    <a:prstGeom prst="rect">
                      <a:avLst/>
                    </a:prstGeom>
                    <a:noFill/>
                  </pic:spPr>
                </pic:pic>
              </a:graphicData>
            </a:graphic>
          </wp:inline>
        </w:drawing>
      </w:r>
    </w:p>
    <w:p w14:paraId="34C15931" w14:textId="77777777" w:rsidR="00707E13" w:rsidRPr="005756A6" w:rsidRDefault="00707E13" w:rsidP="00707E13">
      <w:pPr>
        <w:rPr>
          <w:rFonts w:ascii="Garamond" w:hAnsi="Garamond" w:cs="Times New Roman"/>
          <w:b/>
          <w:noProof/>
        </w:rPr>
      </w:pPr>
      <w:r w:rsidRPr="005756A6">
        <w:rPr>
          <w:rFonts w:ascii="Garamond" w:hAnsi="Garamond" w:cs="Times New Roman"/>
        </w:rPr>
        <w:t>Notes: Point estimates reflect the difference between the baseline estimate of net favorability for Abbott (+28.8) and the net favorability observed for the group (treatment or control) in the post-election survey (N=2,968). The estimates are based on multiple classificatory analysis, which controls for factors and covariates such as age and strength of Republican partisanship.</w:t>
      </w:r>
    </w:p>
    <w:p w14:paraId="788770AF" w14:textId="4EA25377" w:rsidR="00707E13" w:rsidRPr="005756A6" w:rsidRDefault="00707E13" w:rsidP="00D34742">
      <w:pPr>
        <w:jc w:val="center"/>
        <w:rPr>
          <w:rFonts w:ascii="Garamond" w:hAnsi="Garamond" w:cs="Times New Roman"/>
        </w:rPr>
      </w:pPr>
      <w:r w:rsidRPr="005756A6">
        <w:rPr>
          <w:rFonts w:ascii="Garamond" w:hAnsi="Garamond" w:cs="Times New Roman"/>
        </w:rPr>
        <w:br w:type="page"/>
      </w:r>
      <w:r w:rsidR="007A7DE3" w:rsidRPr="005756A6">
        <w:rPr>
          <w:rFonts w:ascii="Garamond" w:hAnsi="Garamond" w:cs="Times New Roman"/>
          <w:noProof/>
        </w:rPr>
        <w:lastRenderedPageBreak/>
        <w:drawing>
          <wp:inline distT="0" distB="0" distL="0" distR="0" wp14:anchorId="036EF824" wp14:editId="704DD39E">
            <wp:extent cx="4588510" cy="3341168"/>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02966" cy="3351694"/>
                    </a:xfrm>
                    <a:prstGeom prst="rect">
                      <a:avLst/>
                    </a:prstGeom>
                    <a:noFill/>
                  </pic:spPr>
                </pic:pic>
              </a:graphicData>
            </a:graphic>
          </wp:inline>
        </w:drawing>
      </w:r>
    </w:p>
    <w:p w14:paraId="5C0E7B2A" w14:textId="19B01476" w:rsidR="00D34742" w:rsidRPr="005756A6" w:rsidRDefault="00D34742" w:rsidP="00D34742">
      <w:pPr>
        <w:jc w:val="center"/>
        <w:rPr>
          <w:rFonts w:ascii="Garamond" w:hAnsi="Garamond" w:cs="Times New Roman"/>
        </w:rPr>
      </w:pPr>
      <w:r w:rsidRPr="005756A6">
        <w:rPr>
          <w:rFonts w:ascii="Garamond" w:hAnsi="Garamond" w:cs="Times New Roman"/>
          <w:noProof/>
        </w:rPr>
        <w:drawing>
          <wp:inline distT="0" distB="0" distL="0" distR="0" wp14:anchorId="0CCF51AF" wp14:editId="42FC2965">
            <wp:extent cx="4600125" cy="3349625"/>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16002" cy="3361186"/>
                    </a:xfrm>
                    <a:prstGeom prst="rect">
                      <a:avLst/>
                    </a:prstGeom>
                    <a:noFill/>
                  </pic:spPr>
                </pic:pic>
              </a:graphicData>
            </a:graphic>
          </wp:inline>
        </w:drawing>
      </w:r>
    </w:p>
    <w:p w14:paraId="35B71149" w14:textId="77777777" w:rsidR="00707E13" w:rsidRPr="005756A6" w:rsidRDefault="00707E13" w:rsidP="00707E13">
      <w:pPr>
        <w:rPr>
          <w:rFonts w:ascii="Garamond" w:hAnsi="Garamond" w:cs="Times New Roman"/>
          <w:b/>
          <w:noProof/>
        </w:rPr>
      </w:pPr>
      <w:r w:rsidRPr="005756A6">
        <w:rPr>
          <w:rFonts w:ascii="Garamond" w:hAnsi="Garamond" w:cs="Times New Roman"/>
        </w:rPr>
        <w:t>Notes: Point estimates reflect the difference between the baseline estimate of Republican turnout and the actual turnout rate observed for the group (treatment or control) in the post-election voter file (</w:t>
      </w:r>
      <w:hyperlink r:id="rId14" w:history="1">
        <w:r w:rsidRPr="005756A6">
          <w:rPr>
            <w:rStyle w:val="Hyperlink"/>
            <w:rFonts w:ascii="Garamond" w:hAnsi="Garamond" w:cs="Times New Roman"/>
            <w:color w:val="auto"/>
            <w:u w:val="none"/>
          </w:rPr>
          <w:t>N=@1.1</w:t>
        </w:r>
      </w:hyperlink>
      <w:r w:rsidRPr="005756A6">
        <w:rPr>
          <w:rFonts w:ascii="Garamond" w:hAnsi="Garamond" w:cs="Times New Roman"/>
        </w:rPr>
        <w:t xml:space="preserve"> million). The estimates are based on multiple classificatory analysis, which controls for factors and covariates such as age and strength of Republican partisanship.</w:t>
      </w:r>
    </w:p>
    <w:p w14:paraId="4B1EF26A" w14:textId="77777777" w:rsidR="00707E13" w:rsidRPr="005756A6" w:rsidRDefault="00707E13" w:rsidP="00707E13">
      <w:pPr>
        <w:jc w:val="center"/>
        <w:rPr>
          <w:rFonts w:ascii="Garamond" w:hAnsi="Garamond" w:cs="Times New Roman"/>
          <w:b/>
          <w:noProof/>
        </w:rPr>
      </w:pPr>
    </w:p>
    <w:p w14:paraId="7C211C6E" w14:textId="30C6EA7D" w:rsidR="00FC2275" w:rsidRPr="005756A6" w:rsidRDefault="00707E13" w:rsidP="00FC2275">
      <w:pPr>
        <w:spacing w:after="0" w:line="240" w:lineRule="auto"/>
        <w:jc w:val="center"/>
        <w:rPr>
          <w:rFonts w:ascii="Garamond" w:hAnsi="Garamond" w:cs="Times New Roman"/>
          <w:b/>
        </w:rPr>
      </w:pPr>
      <w:r w:rsidRPr="005756A6">
        <w:rPr>
          <w:rFonts w:ascii="Garamond" w:hAnsi="Garamond" w:cs="Times New Roman"/>
        </w:rPr>
        <w:br w:type="page"/>
      </w:r>
      <w:r w:rsidRPr="005756A6">
        <w:rPr>
          <w:rFonts w:ascii="Garamond" w:hAnsi="Garamond" w:cs="Times New Roman"/>
          <w:b/>
        </w:rPr>
        <w:lastRenderedPageBreak/>
        <w:t xml:space="preserve">Figure </w:t>
      </w:r>
      <w:r w:rsidR="00D34742" w:rsidRPr="005756A6">
        <w:rPr>
          <w:rFonts w:ascii="Garamond" w:hAnsi="Garamond" w:cs="Times New Roman"/>
          <w:b/>
        </w:rPr>
        <w:t>3</w:t>
      </w:r>
      <w:r w:rsidRPr="005756A6">
        <w:rPr>
          <w:rFonts w:ascii="Garamond" w:hAnsi="Garamond" w:cs="Times New Roman"/>
          <w:b/>
        </w:rPr>
        <w:t>—</w:t>
      </w:r>
      <w:r w:rsidR="00FC2275" w:rsidRPr="005756A6">
        <w:rPr>
          <w:rFonts w:ascii="Garamond" w:hAnsi="Garamond" w:cs="Times New Roman"/>
          <w:b/>
        </w:rPr>
        <w:t>Effects of Campaign Communication</w:t>
      </w:r>
    </w:p>
    <w:p w14:paraId="19406354" w14:textId="318F4770" w:rsidR="00707E13" w:rsidRPr="005756A6" w:rsidRDefault="00FC2275" w:rsidP="00FC2275">
      <w:pPr>
        <w:spacing w:after="0" w:line="240" w:lineRule="auto"/>
        <w:jc w:val="center"/>
        <w:rPr>
          <w:rFonts w:ascii="Garamond" w:hAnsi="Garamond" w:cs="Times New Roman"/>
          <w:b/>
        </w:rPr>
      </w:pPr>
      <w:r w:rsidRPr="005756A6">
        <w:rPr>
          <w:rFonts w:ascii="Garamond" w:hAnsi="Garamond" w:cs="Times New Roman"/>
          <w:b/>
        </w:rPr>
        <w:t>on C</w:t>
      </w:r>
      <w:r w:rsidR="00707E13" w:rsidRPr="005756A6">
        <w:rPr>
          <w:rFonts w:ascii="Garamond" w:hAnsi="Garamond" w:cs="Times New Roman"/>
          <w:b/>
        </w:rPr>
        <w:t xml:space="preserve">andidate Favorability and </w:t>
      </w:r>
      <w:r w:rsidRPr="005756A6">
        <w:rPr>
          <w:rFonts w:ascii="Garamond" w:hAnsi="Garamond" w:cs="Times New Roman"/>
          <w:b/>
        </w:rPr>
        <w:t xml:space="preserve">2014 Texas </w:t>
      </w:r>
      <w:r w:rsidR="00707E13" w:rsidRPr="005756A6">
        <w:rPr>
          <w:rFonts w:ascii="Garamond" w:hAnsi="Garamond" w:cs="Times New Roman"/>
          <w:b/>
        </w:rPr>
        <w:t>Republican Primary Turnout</w:t>
      </w:r>
    </w:p>
    <w:p w14:paraId="1924BDBA" w14:textId="77777777" w:rsidR="00FC2275" w:rsidRPr="005756A6" w:rsidRDefault="00FC2275" w:rsidP="00FC2275">
      <w:pPr>
        <w:spacing w:after="0" w:line="240" w:lineRule="auto"/>
        <w:jc w:val="center"/>
        <w:rPr>
          <w:rFonts w:ascii="Garamond" w:hAnsi="Garamond" w:cs="Times New Roman"/>
          <w:b/>
        </w:rPr>
      </w:pPr>
    </w:p>
    <w:p w14:paraId="562F4317" w14:textId="77777777" w:rsidR="00707E13" w:rsidRPr="005756A6" w:rsidRDefault="00707E13" w:rsidP="00707E13">
      <w:pPr>
        <w:jc w:val="center"/>
        <w:rPr>
          <w:rFonts w:ascii="Garamond" w:hAnsi="Garamond" w:cs="Times New Roman"/>
        </w:rPr>
      </w:pPr>
      <w:r w:rsidRPr="005756A6">
        <w:rPr>
          <w:rFonts w:ascii="Garamond" w:hAnsi="Garamond" w:cs="Times New Roman"/>
          <w:noProof/>
        </w:rPr>
        <w:drawing>
          <wp:inline distT="0" distB="0" distL="0" distR="0" wp14:anchorId="28730D7C" wp14:editId="297762D9">
            <wp:extent cx="2800350" cy="1968500"/>
            <wp:effectExtent l="0" t="0" r="0" b="1270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5756A6">
        <w:rPr>
          <w:rFonts w:ascii="Garamond" w:hAnsi="Garamond" w:cs="Times New Roman"/>
          <w:noProof/>
        </w:rPr>
        <w:drawing>
          <wp:inline distT="0" distB="0" distL="0" distR="0" wp14:anchorId="04B10E97" wp14:editId="48F8C334">
            <wp:extent cx="2952750" cy="1974850"/>
            <wp:effectExtent l="0" t="0" r="0" b="635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5756A6">
        <w:rPr>
          <w:rFonts w:ascii="Garamond" w:hAnsi="Garamond" w:cs="Times New Roman"/>
          <w:noProof/>
        </w:rPr>
        <w:drawing>
          <wp:inline distT="0" distB="0" distL="0" distR="0" wp14:anchorId="0EACC5F3" wp14:editId="2D474EDD">
            <wp:extent cx="2806700" cy="1974850"/>
            <wp:effectExtent l="0" t="0" r="12700" b="635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5756A6">
        <w:rPr>
          <w:rFonts w:ascii="Garamond" w:hAnsi="Garamond" w:cs="Times New Roman"/>
          <w:noProof/>
        </w:rPr>
        <w:drawing>
          <wp:inline distT="0" distB="0" distL="0" distR="0" wp14:anchorId="556F67E3" wp14:editId="6A582953">
            <wp:extent cx="2940050" cy="1974850"/>
            <wp:effectExtent l="0" t="0" r="12700" b="635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5756A6">
        <w:rPr>
          <w:rFonts w:ascii="Garamond" w:hAnsi="Garamond" w:cs="Times New Roman"/>
          <w:noProof/>
        </w:rPr>
        <w:drawing>
          <wp:inline distT="0" distB="0" distL="0" distR="0" wp14:anchorId="1D314007" wp14:editId="7E463A6C">
            <wp:extent cx="2038350" cy="1974850"/>
            <wp:effectExtent l="0" t="0" r="0" b="635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5756A6">
        <w:rPr>
          <w:rFonts w:ascii="Garamond" w:hAnsi="Garamond" w:cs="Times New Roman"/>
          <w:noProof/>
        </w:rPr>
        <w:drawing>
          <wp:inline distT="0" distB="0" distL="0" distR="0" wp14:anchorId="028B8514" wp14:editId="471FA90F">
            <wp:extent cx="2051050" cy="1974850"/>
            <wp:effectExtent l="0" t="0" r="6350" b="635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5756A6">
        <w:rPr>
          <w:rFonts w:ascii="Garamond" w:hAnsi="Garamond" w:cs="Times New Roman"/>
          <w:noProof/>
        </w:rPr>
        <w:drawing>
          <wp:inline distT="0" distB="0" distL="0" distR="0" wp14:anchorId="7E28372A" wp14:editId="48E279B9">
            <wp:extent cx="1841500" cy="1962150"/>
            <wp:effectExtent l="0" t="0" r="635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71FAF3D" w14:textId="01626DAE" w:rsidR="00707E13" w:rsidRPr="005756A6" w:rsidRDefault="00707E13" w:rsidP="00707E13">
      <w:pPr>
        <w:rPr>
          <w:rFonts w:ascii="Garamond" w:hAnsi="Garamond" w:cs="Times New Roman"/>
        </w:rPr>
      </w:pPr>
      <w:r w:rsidRPr="005756A6">
        <w:rPr>
          <w:rFonts w:ascii="Garamond" w:hAnsi="Garamond" w:cs="Times New Roman"/>
        </w:rPr>
        <w:t xml:space="preserve">Notes: Plotted points represent the “difference from baseline” estimates derived from the MCA for treated and untreated groups on two dimensions: (1) net favorability towards </w:t>
      </w:r>
      <w:r w:rsidR="00FC2275" w:rsidRPr="005756A6">
        <w:rPr>
          <w:rFonts w:ascii="Garamond" w:hAnsi="Garamond" w:cs="Times New Roman"/>
        </w:rPr>
        <w:t xml:space="preserve">Greg </w:t>
      </w:r>
      <w:r w:rsidRPr="005756A6">
        <w:rPr>
          <w:rFonts w:ascii="Garamond" w:hAnsi="Garamond" w:cs="Times New Roman"/>
        </w:rPr>
        <w:t xml:space="preserve">Abbott and (2) </w:t>
      </w:r>
      <w:r w:rsidR="00FC2275" w:rsidRPr="005756A6">
        <w:rPr>
          <w:rFonts w:ascii="Garamond" w:hAnsi="Garamond" w:cs="Times New Roman"/>
        </w:rPr>
        <w:t xml:space="preserve">2014 Texas </w:t>
      </w:r>
      <w:r w:rsidRPr="005756A6">
        <w:rPr>
          <w:rFonts w:ascii="Garamond" w:hAnsi="Garamond" w:cs="Times New Roman"/>
        </w:rPr>
        <w:t>Republican primary turnout. Campaign effects are suggested by two comparisons. First, the distance between the treated and untreated points: the greater the distance, the greater the treatment/campaign effect. Second, the distance between the treated point and the origin/baseline. Points close to the origin point (0, 0) indicate minimal campaign effects. The estimated “total” effect of the campaign mode increases as points move towards the upper-right quadrant.</w:t>
      </w:r>
      <w:r w:rsidR="007E4518" w:rsidRPr="005756A6">
        <w:rPr>
          <w:rFonts w:ascii="Garamond" w:hAnsi="Garamond" w:cs="Times New Roman"/>
        </w:rPr>
        <w:t xml:space="preserve"> </w:t>
      </w:r>
    </w:p>
    <w:p w14:paraId="2868FE45" w14:textId="51068571" w:rsidR="00707E13" w:rsidRPr="005756A6" w:rsidRDefault="007E4518" w:rsidP="00707E13">
      <w:pPr>
        <w:jc w:val="center"/>
        <w:rPr>
          <w:rFonts w:ascii="Garamond" w:hAnsi="Garamond" w:cs="Times New Roman"/>
        </w:rPr>
      </w:pPr>
      <w:r w:rsidRPr="005756A6">
        <w:rPr>
          <w:rFonts w:ascii="Garamond" w:hAnsi="Garamond" w:cs="Times New Roman"/>
        </w:rPr>
        <w:br w:type="page"/>
      </w:r>
      <w:r w:rsidR="00707E13" w:rsidRPr="005756A6">
        <w:rPr>
          <w:rFonts w:ascii="Garamond" w:hAnsi="Garamond" w:cs="Times New Roman"/>
          <w:noProof/>
        </w:rPr>
        <w:lastRenderedPageBreak/>
        <w:drawing>
          <wp:inline distT="0" distB="0" distL="0" distR="0" wp14:anchorId="121B351A" wp14:editId="44AF7BFD">
            <wp:extent cx="4737100" cy="3060700"/>
            <wp:effectExtent l="0" t="0" r="6350" b="635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707E13" w:rsidRPr="005756A6">
        <w:rPr>
          <w:rFonts w:ascii="Garamond" w:hAnsi="Garamond" w:cs="Times New Roman"/>
          <w:noProof/>
        </w:rPr>
        <w:drawing>
          <wp:inline distT="0" distB="0" distL="0" distR="0" wp14:anchorId="40BD9377" wp14:editId="08091DF6">
            <wp:extent cx="4737100" cy="3257550"/>
            <wp:effectExtent l="0" t="0" r="6350"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EEF636C" w14:textId="77777777" w:rsidR="00707E13" w:rsidRPr="005756A6" w:rsidRDefault="00707E13" w:rsidP="00707E13">
      <w:pPr>
        <w:rPr>
          <w:rFonts w:ascii="Garamond" w:hAnsi="Garamond" w:cs="Times New Roman"/>
        </w:rPr>
      </w:pPr>
      <w:r w:rsidRPr="005756A6">
        <w:rPr>
          <w:rFonts w:ascii="Garamond" w:hAnsi="Garamond" w:cs="Times New Roman"/>
        </w:rPr>
        <w:t xml:space="preserve">Notes: Plotted points represent the “difference from baseline” estimates derived from the MCA for treated and untreated groups on two dimensions: (1) net favorability towards Abbott and (2) Republican primary turnout. As in the previous figure, campaign effects are suggested by two comparisons: the distance between the treatment and non-treatment points, and the distance between the treatment point and the origin/baseline. </w:t>
      </w:r>
    </w:p>
    <w:p w14:paraId="5D72BF8F" w14:textId="77777777" w:rsidR="007E4518" w:rsidRPr="005756A6" w:rsidRDefault="007E4518">
      <w:pPr>
        <w:rPr>
          <w:rFonts w:ascii="Garamond" w:hAnsi="Garamond" w:cs="Times New Roman"/>
        </w:rPr>
      </w:pPr>
      <w:r w:rsidRPr="005756A6">
        <w:rPr>
          <w:rFonts w:ascii="Garamond" w:hAnsi="Garamond" w:cs="Times New Roman"/>
        </w:rPr>
        <w:br w:type="page"/>
      </w:r>
    </w:p>
    <w:p w14:paraId="4D765969" w14:textId="77777777" w:rsidR="00707E13" w:rsidRPr="005756A6" w:rsidRDefault="00707E13" w:rsidP="00707E13">
      <w:pPr>
        <w:jc w:val="center"/>
        <w:rPr>
          <w:rFonts w:ascii="Garamond" w:hAnsi="Garamond" w:cs="Times New Roman"/>
        </w:rPr>
      </w:pPr>
      <w:r w:rsidRPr="005756A6">
        <w:rPr>
          <w:rFonts w:ascii="Garamond" w:hAnsi="Garamond" w:cs="Times New Roman"/>
          <w:noProof/>
        </w:rPr>
        <w:lastRenderedPageBreak/>
        <w:drawing>
          <wp:inline distT="0" distB="0" distL="0" distR="0" wp14:anchorId="7A12E7C5" wp14:editId="2942A692">
            <wp:extent cx="5080000" cy="3683000"/>
            <wp:effectExtent l="0" t="0" r="6350" b="1270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050FE2A" w14:textId="77777777" w:rsidR="00707E13" w:rsidRPr="005756A6" w:rsidRDefault="00707E13" w:rsidP="00707E13">
      <w:pPr>
        <w:rPr>
          <w:rFonts w:ascii="Garamond" w:hAnsi="Garamond" w:cs="Times New Roman"/>
        </w:rPr>
      </w:pPr>
      <w:r w:rsidRPr="005756A6">
        <w:rPr>
          <w:rFonts w:ascii="Garamond" w:hAnsi="Garamond" w:cs="Times New Roman"/>
        </w:rPr>
        <w:t xml:space="preserve">Notes: Plotted points represent the “difference from baseline” estimates derived from the MCA for treated and untreated groups on two dimensions: (1) net favorability towards Abbott and (2) Republican primary turnout. Here, campaign effects are suggested by the distance between the treatment point and the origin/baseline. </w:t>
      </w:r>
    </w:p>
    <w:p w14:paraId="1F425E9A" w14:textId="79CAE48B" w:rsidR="008252E4" w:rsidRPr="005756A6" w:rsidRDefault="00707E13" w:rsidP="00707E13">
      <w:pPr>
        <w:rPr>
          <w:rFonts w:ascii="Garamond" w:hAnsi="Garamond" w:cs="Times New Roman"/>
        </w:rPr>
      </w:pPr>
      <w:r w:rsidRPr="005756A6">
        <w:rPr>
          <w:rFonts w:ascii="Garamond" w:hAnsi="Garamond" w:cs="Times New Roman"/>
        </w:rPr>
        <w:t xml:space="preserve"> </w:t>
      </w:r>
    </w:p>
    <w:p w14:paraId="4FD02509" w14:textId="77777777" w:rsidR="00707E13" w:rsidRPr="005756A6" w:rsidRDefault="00707E13">
      <w:pPr>
        <w:rPr>
          <w:rFonts w:ascii="Garamond" w:hAnsi="Garamond" w:cs="Times New Roman"/>
          <w:b/>
        </w:rPr>
      </w:pPr>
      <w:r w:rsidRPr="005756A6">
        <w:rPr>
          <w:rFonts w:ascii="Garamond" w:hAnsi="Garamond" w:cs="Times New Roman"/>
          <w:b/>
        </w:rPr>
        <w:br w:type="page"/>
      </w:r>
    </w:p>
    <w:p w14:paraId="154E8F40" w14:textId="30DE00C4" w:rsidR="007D1244" w:rsidRPr="005756A6" w:rsidRDefault="007D1244" w:rsidP="00AC10B6">
      <w:pPr>
        <w:rPr>
          <w:rFonts w:ascii="Garamond" w:hAnsi="Garamond" w:cs="Times New Roman"/>
          <w:b/>
          <w:sz w:val="24"/>
          <w:szCs w:val="24"/>
        </w:rPr>
      </w:pPr>
      <w:r w:rsidRPr="005756A6">
        <w:rPr>
          <w:rFonts w:ascii="Garamond" w:hAnsi="Garamond" w:cs="Times New Roman"/>
          <w:b/>
          <w:sz w:val="24"/>
          <w:szCs w:val="24"/>
        </w:rPr>
        <w:lastRenderedPageBreak/>
        <w:t>References</w:t>
      </w:r>
    </w:p>
    <w:p w14:paraId="37676B71" w14:textId="0F52EDF8" w:rsidR="009C6281" w:rsidRPr="0031369B" w:rsidRDefault="009C6281" w:rsidP="0031369B">
      <w:pPr>
        <w:spacing w:after="0" w:line="480" w:lineRule="auto"/>
        <w:ind w:left="720" w:hanging="720"/>
        <w:rPr>
          <w:rStyle w:val="Strong"/>
          <w:rFonts w:ascii="Garamond" w:hAnsi="Garamond" w:cs="Times New Roman"/>
          <w:b w:val="0"/>
          <w:sz w:val="24"/>
          <w:szCs w:val="24"/>
        </w:rPr>
      </w:pPr>
      <w:r w:rsidRPr="0031369B">
        <w:rPr>
          <w:rFonts w:ascii="Garamond" w:hAnsi="Garamond"/>
          <w:sz w:val="24"/>
          <w:szCs w:val="24"/>
        </w:rPr>
        <w:t xml:space="preserve">Ansolabehere, Stephen, &amp; Shanto Iyengar. 1996. </w:t>
      </w:r>
      <w:r w:rsidRPr="0031369B">
        <w:rPr>
          <w:rFonts w:ascii="Garamond" w:hAnsi="Garamond"/>
          <w:i/>
          <w:sz w:val="24"/>
          <w:szCs w:val="24"/>
        </w:rPr>
        <w:t>Going Negative</w:t>
      </w:r>
      <w:r w:rsidRPr="0031369B">
        <w:rPr>
          <w:rFonts w:ascii="Garamond" w:hAnsi="Garamond"/>
          <w:sz w:val="24"/>
          <w:szCs w:val="24"/>
        </w:rPr>
        <w:t>. New York, NY: Free Press.</w:t>
      </w:r>
    </w:p>
    <w:p w14:paraId="015E7392" w14:textId="77777777" w:rsidR="009E160B" w:rsidRPr="0031369B" w:rsidRDefault="00221745" w:rsidP="0031369B">
      <w:pPr>
        <w:spacing w:after="0" w:line="480" w:lineRule="auto"/>
        <w:ind w:left="720" w:hanging="720"/>
        <w:rPr>
          <w:rStyle w:val="Strong"/>
          <w:rFonts w:ascii="Garamond" w:hAnsi="Garamond" w:cs="Times New Roman"/>
          <w:b w:val="0"/>
          <w:sz w:val="24"/>
          <w:szCs w:val="24"/>
        </w:rPr>
      </w:pPr>
      <w:r w:rsidRPr="0031369B">
        <w:rPr>
          <w:rStyle w:val="Strong"/>
          <w:rFonts w:ascii="Garamond" w:hAnsi="Garamond" w:cs="Times New Roman"/>
          <w:b w:val="0"/>
          <w:sz w:val="24"/>
          <w:szCs w:val="24"/>
        </w:rPr>
        <w:t xml:space="preserve">Campbell, James. 2008. </w:t>
      </w:r>
      <w:r w:rsidRPr="0031369B">
        <w:rPr>
          <w:rStyle w:val="Strong"/>
          <w:rFonts w:ascii="Garamond" w:hAnsi="Garamond" w:cs="Times New Roman"/>
          <w:b w:val="0"/>
          <w:i/>
          <w:sz w:val="24"/>
          <w:szCs w:val="24"/>
        </w:rPr>
        <w:t>The American Campaign</w:t>
      </w:r>
      <w:r w:rsidRPr="0031369B">
        <w:rPr>
          <w:rStyle w:val="Strong"/>
          <w:rFonts w:ascii="Garamond" w:hAnsi="Garamond" w:cs="Times New Roman"/>
          <w:b w:val="0"/>
          <w:sz w:val="24"/>
          <w:szCs w:val="24"/>
        </w:rPr>
        <w:t>. 2</w:t>
      </w:r>
      <w:r w:rsidRPr="0031369B">
        <w:rPr>
          <w:rStyle w:val="Strong"/>
          <w:rFonts w:ascii="Garamond" w:hAnsi="Garamond" w:cs="Times New Roman"/>
          <w:b w:val="0"/>
          <w:sz w:val="24"/>
          <w:szCs w:val="24"/>
          <w:vertAlign w:val="superscript"/>
        </w:rPr>
        <w:t>nd</w:t>
      </w:r>
      <w:r w:rsidRPr="0031369B">
        <w:rPr>
          <w:rStyle w:val="Strong"/>
          <w:rFonts w:ascii="Garamond" w:hAnsi="Garamond" w:cs="Times New Roman"/>
          <w:b w:val="0"/>
          <w:sz w:val="24"/>
          <w:szCs w:val="24"/>
        </w:rPr>
        <w:t xml:space="preserve"> edition. Texas A&amp;M Press. </w:t>
      </w:r>
    </w:p>
    <w:p w14:paraId="5AB06740" w14:textId="4CDE149F" w:rsidR="00B2695E" w:rsidRPr="0031369B" w:rsidRDefault="00B2695E" w:rsidP="0031369B">
      <w:pPr>
        <w:spacing w:after="0" w:line="480" w:lineRule="auto"/>
        <w:ind w:left="720" w:hanging="720"/>
        <w:rPr>
          <w:rStyle w:val="Strong"/>
          <w:rFonts w:ascii="Garamond" w:hAnsi="Garamond" w:cs="Times New Roman"/>
          <w:b w:val="0"/>
          <w:sz w:val="24"/>
          <w:szCs w:val="24"/>
        </w:rPr>
      </w:pPr>
      <w:r w:rsidRPr="0031369B">
        <w:rPr>
          <w:rStyle w:val="Strong"/>
          <w:rFonts w:ascii="Garamond" w:hAnsi="Garamond" w:cs="Times New Roman"/>
          <w:b w:val="0"/>
          <w:sz w:val="24"/>
          <w:szCs w:val="24"/>
        </w:rPr>
        <w:t xml:space="preserve">Cardy, Emily A. 2005. “The Persuasion Effects of Partisan Direct Mail and Phone Calls.” </w:t>
      </w:r>
      <w:r w:rsidRPr="0031369B">
        <w:rPr>
          <w:rStyle w:val="Strong"/>
          <w:rFonts w:ascii="Garamond" w:hAnsi="Garamond" w:cs="Times New Roman"/>
          <w:b w:val="0"/>
          <w:i/>
          <w:sz w:val="24"/>
          <w:szCs w:val="24"/>
        </w:rPr>
        <w:t>Annals of the American Academy of Political and Social Science</w:t>
      </w:r>
      <w:r w:rsidRPr="0031369B">
        <w:rPr>
          <w:rStyle w:val="Strong"/>
          <w:rFonts w:ascii="Garamond" w:hAnsi="Garamond" w:cs="Times New Roman"/>
          <w:b w:val="0"/>
          <w:sz w:val="24"/>
          <w:szCs w:val="24"/>
        </w:rPr>
        <w:t>, 601 (1): 28-40.</w:t>
      </w:r>
    </w:p>
    <w:p w14:paraId="7B80045A" w14:textId="6C126261" w:rsidR="009C6281" w:rsidRPr="0031369B" w:rsidRDefault="009C6281" w:rsidP="0031369B">
      <w:pPr>
        <w:spacing w:after="0" w:line="480" w:lineRule="auto"/>
        <w:ind w:left="720" w:hanging="720"/>
        <w:rPr>
          <w:rFonts w:ascii="Garamond" w:hAnsi="Garamond"/>
          <w:sz w:val="24"/>
          <w:szCs w:val="24"/>
        </w:rPr>
      </w:pPr>
      <w:r w:rsidRPr="0031369B">
        <w:rPr>
          <w:rFonts w:ascii="Garamond" w:hAnsi="Garamond"/>
          <w:sz w:val="24"/>
          <w:szCs w:val="24"/>
        </w:rPr>
        <w:t xml:space="preserve">Chang, Chingching. 2003. “Party Bias in Political-Advertising Processing.” </w:t>
      </w:r>
      <w:r w:rsidRPr="0031369B">
        <w:rPr>
          <w:rFonts w:ascii="Garamond" w:hAnsi="Garamond"/>
          <w:i/>
          <w:sz w:val="24"/>
          <w:szCs w:val="24"/>
        </w:rPr>
        <w:t>Journal of Advertising</w:t>
      </w:r>
      <w:r w:rsidR="000D0681" w:rsidRPr="0031369B">
        <w:rPr>
          <w:rFonts w:ascii="Garamond" w:hAnsi="Garamond"/>
          <w:i/>
          <w:sz w:val="24"/>
          <w:szCs w:val="24"/>
        </w:rPr>
        <w:t>,</w:t>
      </w:r>
      <w:r w:rsidRPr="0031369B">
        <w:rPr>
          <w:rFonts w:ascii="Garamond" w:hAnsi="Garamond"/>
          <w:sz w:val="24"/>
          <w:szCs w:val="24"/>
        </w:rPr>
        <w:t xml:space="preserve"> 32 (</w:t>
      </w:r>
      <w:r w:rsidR="00673CCA" w:rsidRPr="0031369B">
        <w:rPr>
          <w:rFonts w:ascii="Garamond" w:hAnsi="Garamond"/>
          <w:sz w:val="24"/>
          <w:szCs w:val="24"/>
        </w:rPr>
        <w:t>summer</w:t>
      </w:r>
      <w:r w:rsidRPr="0031369B">
        <w:rPr>
          <w:rFonts w:ascii="Garamond" w:hAnsi="Garamond"/>
          <w:sz w:val="24"/>
          <w:szCs w:val="24"/>
        </w:rPr>
        <w:t xml:space="preserve">): 55–67. </w:t>
      </w:r>
    </w:p>
    <w:p w14:paraId="4166A6C6" w14:textId="1309622F" w:rsidR="0031369B" w:rsidRPr="0031369B" w:rsidRDefault="0031369B" w:rsidP="0031369B">
      <w:pPr>
        <w:spacing w:after="0" w:line="480" w:lineRule="auto"/>
        <w:ind w:left="720" w:hanging="720"/>
        <w:rPr>
          <w:rFonts w:ascii="Garamond" w:hAnsi="Garamond"/>
          <w:sz w:val="24"/>
          <w:szCs w:val="24"/>
        </w:rPr>
      </w:pPr>
      <w:r w:rsidRPr="0031369B">
        <w:rPr>
          <w:rFonts w:ascii="Garamond" w:hAnsi="Garamond"/>
          <w:sz w:val="24"/>
          <w:szCs w:val="24"/>
        </w:rPr>
        <w:t xml:space="preserve">Decker, Steffi, &amp; Josh Koster. 2014. “Five Digital Mistakes to Avoid.” </w:t>
      </w:r>
      <w:r w:rsidRPr="0031369B">
        <w:rPr>
          <w:rFonts w:ascii="Garamond" w:hAnsi="Garamond"/>
          <w:i/>
          <w:sz w:val="24"/>
          <w:szCs w:val="24"/>
        </w:rPr>
        <w:t>Campaigns and Elections</w:t>
      </w:r>
      <w:r w:rsidRPr="0031369B">
        <w:rPr>
          <w:rFonts w:ascii="Garamond" w:hAnsi="Garamond"/>
          <w:sz w:val="24"/>
          <w:szCs w:val="24"/>
        </w:rPr>
        <w:t xml:space="preserve">, September 15, 2014: </w:t>
      </w:r>
      <w:r w:rsidR="00573612">
        <w:rPr>
          <w:rFonts w:ascii="Garamond" w:hAnsi="Garamond"/>
          <w:sz w:val="24"/>
          <w:szCs w:val="24"/>
        </w:rPr>
        <w:t>16-18.</w:t>
      </w:r>
    </w:p>
    <w:p w14:paraId="5C726B6F" w14:textId="0C0CCAF7" w:rsidR="009C6281" w:rsidRPr="0031369B" w:rsidRDefault="009C6281" w:rsidP="0031369B">
      <w:pPr>
        <w:spacing w:after="0" w:line="480" w:lineRule="auto"/>
        <w:ind w:left="720" w:hanging="720"/>
        <w:rPr>
          <w:rStyle w:val="Strong"/>
          <w:rFonts w:ascii="Garamond" w:hAnsi="Garamond" w:cs="Times New Roman"/>
          <w:b w:val="0"/>
          <w:sz w:val="24"/>
          <w:szCs w:val="24"/>
        </w:rPr>
      </w:pPr>
      <w:r w:rsidRPr="0031369B">
        <w:rPr>
          <w:rStyle w:val="Strong"/>
          <w:rFonts w:ascii="Garamond" w:hAnsi="Garamond" w:cs="Times New Roman"/>
          <w:b w:val="0"/>
          <w:sz w:val="24"/>
          <w:szCs w:val="24"/>
        </w:rPr>
        <w:t xml:space="preserve">Druckman, James. 2004. “Political Preference Formation: Competition, Deliberation, and the (Ir)relevance of Framing Effects.” </w:t>
      </w:r>
      <w:r w:rsidRPr="0031369B">
        <w:rPr>
          <w:rStyle w:val="Strong"/>
          <w:rFonts w:ascii="Garamond" w:hAnsi="Garamond" w:cs="Times New Roman"/>
          <w:b w:val="0"/>
          <w:i/>
          <w:sz w:val="24"/>
          <w:szCs w:val="24"/>
        </w:rPr>
        <w:t>American Political Science Review</w:t>
      </w:r>
      <w:r w:rsidRPr="0031369B">
        <w:rPr>
          <w:rStyle w:val="Strong"/>
          <w:rFonts w:ascii="Garamond" w:hAnsi="Garamond" w:cs="Times New Roman"/>
          <w:b w:val="0"/>
          <w:sz w:val="24"/>
          <w:szCs w:val="24"/>
        </w:rPr>
        <w:t xml:space="preserve">, 98 (4): 671-686. </w:t>
      </w:r>
    </w:p>
    <w:p w14:paraId="5959C3FF" w14:textId="77777777" w:rsidR="0031369B" w:rsidRPr="0031369B" w:rsidRDefault="0031369B" w:rsidP="0031369B">
      <w:pPr>
        <w:spacing w:after="0" w:line="480" w:lineRule="auto"/>
        <w:ind w:left="720" w:hanging="720"/>
        <w:rPr>
          <w:rFonts w:ascii="Garamond" w:hAnsi="Garamond"/>
          <w:sz w:val="24"/>
          <w:szCs w:val="24"/>
        </w:rPr>
      </w:pPr>
      <w:r w:rsidRPr="0031369B">
        <w:rPr>
          <w:rFonts w:ascii="Garamond" w:hAnsi="Garamond"/>
          <w:sz w:val="24"/>
          <w:szCs w:val="24"/>
        </w:rPr>
        <w:t xml:space="preserve">Enos, Ryan, &amp; Anthony Fowler, 2016. “Aggregate Effects of Large-Scale Campaigns on Voter Turnout.” </w:t>
      </w:r>
      <w:r w:rsidRPr="0031369B">
        <w:rPr>
          <w:rFonts w:ascii="Garamond" w:hAnsi="Garamond"/>
          <w:i/>
          <w:sz w:val="24"/>
          <w:szCs w:val="24"/>
        </w:rPr>
        <w:t>Political Science Research and Methods</w:t>
      </w:r>
      <w:r w:rsidRPr="0031369B">
        <w:rPr>
          <w:rFonts w:ascii="Garamond" w:hAnsi="Garamond"/>
          <w:sz w:val="24"/>
          <w:szCs w:val="24"/>
        </w:rPr>
        <w:t>, FirstView article (April 2016): 1-19.</w:t>
      </w:r>
    </w:p>
    <w:p w14:paraId="63C0E6F3" w14:textId="77777777" w:rsidR="0031369B" w:rsidRPr="0031369B" w:rsidRDefault="0031369B" w:rsidP="0031369B">
      <w:pPr>
        <w:spacing w:after="0" w:line="480" w:lineRule="auto"/>
        <w:ind w:left="720" w:hanging="720"/>
        <w:rPr>
          <w:rFonts w:ascii="Garamond" w:hAnsi="Garamond"/>
          <w:sz w:val="24"/>
          <w:szCs w:val="24"/>
        </w:rPr>
      </w:pPr>
      <w:r w:rsidRPr="0031369B">
        <w:rPr>
          <w:rFonts w:ascii="Garamond" w:hAnsi="Garamond"/>
          <w:sz w:val="24"/>
          <w:szCs w:val="24"/>
        </w:rPr>
        <w:t xml:space="preserve">Fieldhouse, Edward, David Cutts, Paul Widdop, and Peter John. 2013. "Do impersonal mobilisation methods work? Evidence from a nationwide Get-Out-the-Vote experiment in England." </w:t>
      </w:r>
      <w:r w:rsidRPr="0031369B">
        <w:rPr>
          <w:rFonts w:ascii="Garamond" w:hAnsi="Garamond"/>
          <w:i/>
          <w:sz w:val="24"/>
          <w:szCs w:val="24"/>
        </w:rPr>
        <w:t>Electoral Studies</w:t>
      </w:r>
      <w:r w:rsidRPr="0031369B">
        <w:rPr>
          <w:rFonts w:ascii="Garamond" w:hAnsi="Garamond"/>
          <w:sz w:val="24"/>
          <w:szCs w:val="24"/>
        </w:rPr>
        <w:t xml:space="preserve">, 32 (1): 113-123. </w:t>
      </w:r>
    </w:p>
    <w:p w14:paraId="67A0943E" w14:textId="41365EB3" w:rsidR="000D0681" w:rsidRPr="0031369B" w:rsidRDefault="000D0681" w:rsidP="0031369B">
      <w:pPr>
        <w:spacing w:after="0" w:line="480" w:lineRule="auto"/>
        <w:ind w:left="720" w:hanging="720"/>
        <w:rPr>
          <w:rStyle w:val="Strong"/>
          <w:rFonts w:ascii="Garamond" w:hAnsi="Garamond" w:cs="Times New Roman"/>
          <w:b w:val="0"/>
          <w:sz w:val="24"/>
          <w:szCs w:val="24"/>
        </w:rPr>
      </w:pPr>
      <w:r w:rsidRPr="0031369B">
        <w:rPr>
          <w:rStyle w:val="Strong"/>
          <w:rFonts w:ascii="Garamond" w:hAnsi="Garamond" w:cs="Times New Roman"/>
          <w:b w:val="0"/>
          <w:sz w:val="24"/>
          <w:szCs w:val="24"/>
        </w:rPr>
        <w:t xml:space="preserve">Fiorina, Morris. 2010. </w:t>
      </w:r>
      <w:r w:rsidR="00006463" w:rsidRPr="0031369B">
        <w:rPr>
          <w:rStyle w:val="Strong"/>
          <w:rFonts w:ascii="Garamond" w:hAnsi="Garamond" w:cs="Times New Roman"/>
          <w:b w:val="0"/>
          <w:i/>
          <w:sz w:val="24"/>
          <w:szCs w:val="24"/>
        </w:rPr>
        <w:t xml:space="preserve">Culture Wars: </w:t>
      </w:r>
      <w:r w:rsidRPr="0031369B">
        <w:rPr>
          <w:rStyle w:val="Strong"/>
          <w:rFonts w:ascii="Garamond" w:hAnsi="Garamond" w:cs="Times New Roman"/>
          <w:b w:val="0"/>
          <w:i/>
          <w:sz w:val="24"/>
          <w:szCs w:val="24"/>
        </w:rPr>
        <w:t>The Myth of a Polarized America</w:t>
      </w:r>
      <w:r w:rsidR="00006463" w:rsidRPr="0031369B">
        <w:rPr>
          <w:rStyle w:val="Strong"/>
          <w:rFonts w:ascii="Garamond" w:hAnsi="Garamond" w:cs="Times New Roman"/>
          <w:b w:val="0"/>
          <w:sz w:val="24"/>
          <w:szCs w:val="24"/>
        </w:rPr>
        <w:t xml:space="preserve"> (3d edition). New York, NY: Longman.</w:t>
      </w:r>
    </w:p>
    <w:p w14:paraId="0432B293" w14:textId="6DC1355C" w:rsidR="00B2695E" w:rsidRPr="0031369B" w:rsidRDefault="00B2695E" w:rsidP="0031369B">
      <w:pPr>
        <w:spacing w:after="0" w:line="480" w:lineRule="auto"/>
        <w:ind w:left="720" w:hanging="720"/>
        <w:rPr>
          <w:rStyle w:val="Strong"/>
          <w:rFonts w:ascii="Garamond" w:hAnsi="Garamond" w:cs="Times New Roman"/>
          <w:b w:val="0"/>
          <w:sz w:val="24"/>
          <w:szCs w:val="24"/>
        </w:rPr>
      </w:pPr>
      <w:r w:rsidRPr="0031369B">
        <w:rPr>
          <w:rStyle w:val="Strong"/>
          <w:rFonts w:ascii="Garamond" w:hAnsi="Garamond" w:cs="Times New Roman"/>
          <w:b w:val="0"/>
          <w:sz w:val="24"/>
          <w:szCs w:val="24"/>
        </w:rPr>
        <w:t>Fowler, Erica, &amp; Travis Ridout. 2014.</w:t>
      </w:r>
      <w:r w:rsidR="00A10614" w:rsidRPr="0031369B">
        <w:rPr>
          <w:rStyle w:val="Strong"/>
          <w:rFonts w:ascii="Garamond" w:hAnsi="Garamond" w:cs="Times New Roman"/>
          <w:b w:val="0"/>
          <w:sz w:val="24"/>
          <w:szCs w:val="24"/>
        </w:rPr>
        <w:t xml:space="preserve"> “Political Advertising in 2014: The Year of the Outside Group.” The Forum, 12 (4): 663-684.</w:t>
      </w:r>
    </w:p>
    <w:p w14:paraId="5C253FD6" w14:textId="765FF7C0" w:rsidR="007D1244" w:rsidRPr="0031369B" w:rsidRDefault="007D1244" w:rsidP="0031369B">
      <w:pPr>
        <w:spacing w:after="0" w:line="480" w:lineRule="auto"/>
        <w:ind w:left="720" w:hanging="720"/>
        <w:rPr>
          <w:rStyle w:val="Strong"/>
          <w:rFonts w:ascii="Garamond" w:hAnsi="Garamond" w:cs="Times New Roman"/>
          <w:b w:val="0"/>
          <w:sz w:val="24"/>
          <w:szCs w:val="24"/>
        </w:rPr>
      </w:pPr>
      <w:r w:rsidRPr="0031369B">
        <w:rPr>
          <w:rStyle w:val="Strong"/>
          <w:rFonts w:ascii="Garamond" w:hAnsi="Garamond" w:cs="Times New Roman"/>
          <w:b w:val="0"/>
          <w:sz w:val="24"/>
          <w:szCs w:val="24"/>
        </w:rPr>
        <w:t>Gerber, Alan S.</w:t>
      </w:r>
      <w:r w:rsidR="00B2695E" w:rsidRPr="0031369B">
        <w:rPr>
          <w:rStyle w:val="Strong"/>
          <w:rFonts w:ascii="Garamond" w:hAnsi="Garamond" w:cs="Times New Roman"/>
          <w:b w:val="0"/>
          <w:sz w:val="24"/>
          <w:szCs w:val="24"/>
        </w:rPr>
        <w:t>,</w:t>
      </w:r>
      <w:r w:rsidRPr="0031369B">
        <w:rPr>
          <w:rStyle w:val="Strong"/>
          <w:rFonts w:ascii="Garamond" w:hAnsi="Garamond" w:cs="Times New Roman"/>
          <w:b w:val="0"/>
          <w:sz w:val="24"/>
          <w:szCs w:val="24"/>
        </w:rPr>
        <w:t xml:space="preserve"> </w:t>
      </w:r>
      <w:r w:rsidR="00B2695E" w:rsidRPr="0031369B">
        <w:rPr>
          <w:rStyle w:val="Strong"/>
          <w:rFonts w:ascii="Garamond" w:hAnsi="Garamond" w:cs="Times New Roman"/>
          <w:b w:val="0"/>
          <w:sz w:val="24"/>
          <w:szCs w:val="24"/>
        </w:rPr>
        <w:t>&amp;</w:t>
      </w:r>
      <w:r w:rsidRPr="0031369B">
        <w:rPr>
          <w:rStyle w:val="Strong"/>
          <w:rFonts w:ascii="Garamond" w:hAnsi="Garamond" w:cs="Times New Roman"/>
          <w:b w:val="0"/>
          <w:sz w:val="24"/>
          <w:szCs w:val="24"/>
        </w:rPr>
        <w:t xml:space="preserve"> Donald P. Green. 2004. </w:t>
      </w:r>
      <w:r w:rsidRPr="0031369B">
        <w:rPr>
          <w:rStyle w:val="Strong"/>
          <w:rFonts w:ascii="Garamond" w:hAnsi="Garamond" w:cs="Times New Roman"/>
          <w:b w:val="0"/>
          <w:i/>
          <w:sz w:val="24"/>
          <w:szCs w:val="24"/>
        </w:rPr>
        <w:t xml:space="preserve">Get Out the Vote! </w:t>
      </w:r>
      <w:r w:rsidRPr="0031369B">
        <w:rPr>
          <w:rStyle w:val="Strong"/>
          <w:rFonts w:ascii="Garamond" w:hAnsi="Garamond" w:cs="Times New Roman"/>
          <w:b w:val="0"/>
          <w:sz w:val="24"/>
          <w:szCs w:val="24"/>
        </w:rPr>
        <w:t>Brookings Press.</w:t>
      </w:r>
    </w:p>
    <w:p w14:paraId="038768B9" w14:textId="3B2FF9E6" w:rsidR="007D1244" w:rsidRPr="0031369B" w:rsidRDefault="007D1244" w:rsidP="0031369B">
      <w:pPr>
        <w:spacing w:after="0" w:line="480" w:lineRule="auto"/>
        <w:ind w:left="720" w:hanging="720"/>
        <w:rPr>
          <w:rFonts w:ascii="Garamond" w:hAnsi="Garamond" w:cs="Times New Roman"/>
          <w:color w:val="000000" w:themeColor="text1"/>
          <w:sz w:val="24"/>
          <w:szCs w:val="24"/>
        </w:rPr>
      </w:pPr>
      <w:r w:rsidRPr="0031369B">
        <w:rPr>
          <w:rFonts w:ascii="Garamond" w:hAnsi="Garamond" w:cs="Times New Roman"/>
          <w:sz w:val="24"/>
          <w:szCs w:val="24"/>
        </w:rPr>
        <w:t xml:space="preserve">Gerber, Alan, Donald Green, James Gimpel, </w:t>
      </w:r>
      <w:r w:rsidR="00B2695E" w:rsidRPr="0031369B">
        <w:rPr>
          <w:rFonts w:ascii="Garamond" w:hAnsi="Garamond" w:cs="Times New Roman"/>
          <w:sz w:val="24"/>
          <w:szCs w:val="24"/>
        </w:rPr>
        <w:t>&amp;</w:t>
      </w:r>
      <w:r w:rsidRPr="0031369B">
        <w:rPr>
          <w:rFonts w:ascii="Garamond" w:hAnsi="Garamond" w:cs="Times New Roman"/>
          <w:sz w:val="24"/>
          <w:szCs w:val="24"/>
        </w:rPr>
        <w:t xml:space="preserve"> Daron Shaw. 2010. “How Large and Long-lasting are the Persuasive Effects of Television Campaign Ads? Results from a Randomized Field </w:t>
      </w:r>
      <w:r w:rsidRPr="0031369B">
        <w:rPr>
          <w:rFonts w:ascii="Garamond" w:hAnsi="Garamond" w:cs="Times New Roman"/>
          <w:color w:val="000000" w:themeColor="text1"/>
          <w:sz w:val="24"/>
          <w:szCs w:val="24"/>
        </w:rPr>
        <w:t xml:space="preserve">Experiment.” </w:t>
      </w:r>
      <w:r w:rsidRPr="0031369B">
        <w:rPr>
          <w:rFonts w:ascii="Garamond" w:hAnsi="Garamond" w:cs="Times New Roman"/>
          <w:i/>
          <w:color w:val="000000" w:themeColor="text1"/>
          <w:sz w:val="24"/>
          <w:szCs w:val="24"/>
        </w:rPr>
        <w:t>American Political Science Review</w:t>
      </w:r>
      <w:r w:rsidR="00344AF2" w:rsidRPr="0031369B">
        <w:rPr>
          <w:rFonts w:ascii="Garamond" w:hAnsi="Garamond" w:cs="Times New Roman"/>
          <w:i/>
          <w:color w:val="000000" w:themeColor="text1"/>
          <w:sz w:val="24"/>
          <w:szCs w:val="24"/>
        </w:rPr>
        <w:t>,</w:t>
      </w:r>
      <w:r w:rsidRPr="0031369B">
        <w:rPr>
          <w:rFonts w:ascii="Garamond" w:hAnsi="Garamond" w:cs="Times New Roman"/>
          <w:color w:val="000000" w:themeColor="text1"/>
          <w:sz w:val="24"/>
          <w:szCs w:val="24"/>
        </w:rPr>
        <w:t xml:space="preserve"> 105 (1): 135-150.</w:t>
      </w:r>
    </w:p>
    <w:p w14:paraId="135D6875" w14:textId="2BB26881" w:rsidR="00D22D83" w:rsidRPr="0031369B" w:rsidRDefault="00D22D83" w:rsidP="0031369B">
      <w:pPr>
        <w:spacing w:after="0" w:line="480" w:lineRule="auto"/>
        <w:ind w:left="720" w:hanging="720"/>
        <w:rPr>
          <w:rFonts w:ascii="Garamond" w:hAnsi="Garamond" w:cs="Times New Roman"/>
          <w:sz w:val="24"/>
          <w:szCs w:val="24"/>
        </w:rPr>
      </w:pPr>
      <w:r w:rsidRPr="0031369B">
        <w:rPr>
          <w:rFonts w:ascii="Garamond" w:hAnsi="Garamond" w:cs="Times New Roman"/>
          <w:sz w:val="24"/>
          <w:szCs w:val="24"/>
        </w:rPr>
        <w:lastRenderedPageBreak/>
        <w:t xml:space="preserve">Green, Donald, </w:t>
      </w:r>
      <w:r w:rsidR="00B2695E" w:rsidRPr="0031369B">
        <w:rPr>
          <w:rFonts w:ascii="Garamond" w:hAnsi="Garamond" w:cs="Times New Roman"/>
          <w:sz w:val="24"/>
          <w:szCs w:val="24"/>
        </w:rPr>
        <w:t>&amp;</w:t>
      </w:r>
      <w:r w:rsidRPr="0031369B">
        <w:rPr>
          <w:rFonts w:ascii="Garamond" w:hAnsi="Garamond" w:cs="Times New Roman"/>
          <w:sz w:val="24"/>
          <w:szCs w:val="24"/>
        </w:rPr>
        <w:t xml:space="preserve"> Jonathan Krasno. 1990. “Rebuttal to Jacobson’s ‘New Evidence for Old Arguments’.” </w:t>
      </w:r>
      <w:r w:rsidRPr="0031369B">
        <w:rPr>
          <w:rFonts w:ascii="Garamond" w:hAnsi="Garamond" w:cs="Times New Roman"/>
          <w:i/>
          <w:sz w:val="24"/>
          <w:szCs w:val="24"/>
        </w:rPr>
        <w:t>American Journal of Political Science</w:t>
      </w:r>
      <w:r w:rsidRPr="0031369B">
        <w:rPr>
          <w:rFonts w:ascii="Garamond" w:hAnsi="Garamond" w:cs="Times New Roman"/>
          <w:sz w:val="24"/>
          <w:szCs w:val="24"/>
        </w:rPr>
        <w:t>, 34 (2): 363-372.</w:t>
      </w:r>
    </w:p>
    <w:p w14:paraId="6840DF90" w14:textId="77777777" w:rsidR="0031369B" w:rsidRPr="0031369B" w:rsidRDefault="0031369B" w:rsidP="0031369B">
      <w:pPr>
        <w:spacing w:after="0" w:line="480" w:lineRule="auto"/>
        <w:ind w:left="720" w:hanging="720"/>
        <w:rPr>
          <w:rFonts w:ascii="Garamond" w:hAnsi="Garamond"/>
          <w:sz w:val="24"/>
          <w:szCs w:val="24"/>
        </w:rPr>
      </w:pPr>
      <w:r w:rsidRPr="0031369B">
        <w:rPr>
          <w:rFonts w:ascii="Garamond" w:hAnsi="Garamond"/>
          <w:sz w:val="24"/>
          <w:szCs w:val="24"/>
        </w:rPr>
        <w:t xml:space="preserve">Hersh, Eitan, &amp; Brian F. Schaffner. 2013. “Targeted Campaign Appeals and the Value of Ambiguity.” </w:t>
      </w:r>
      <w:r w:rsidRPr="0031369B">
        <w:rPr>
          <w:rFonts w:ascii="Garamond" w:hAnsi="Garamond"/>
          <w:i/>
          <w:sz w:val="24"/>
          <w:szCs w:val="24"/>
        </w:rPr>
        <w:t>Journal of Politics</w:t>
      </w:r>
      <w:r w:rsidRPr="0031369B">
        <w:rPr>
          <w:rFonts w:ascii="Garamond" w:hAnsi="Garamond"/>
          <w:sz w:val="24"/>
          <w:szCs w:val="24"/>
        </w:rPr>
        <w:t xml:space="preserve">, 75 (2): 520-534. </w:t>
      </w:r>
    </w:p>
    <w:p w14:paraId="7E2F1E5E" w14:textId="53316669" w:rsidR="00006463" w:rsidRPr="0031369B" w:rsidRDefault="00006463" w:rsidP="0031369B">
      <w:pPr>
        <w:spacing w:after="0" w:line="480" w:lineRule="auto"/>
        <w:ind w:left="720" w:hanging="720"/>
        <w:rPr>
          <w:rFonts w:ascii="Garamond" w:hAnsi="Garamond" w:cs="Times New Roman"/>
          <w:sz w:val="24"/>
          <w:szCs w:val="24"/>
        </w:rPr>
      </w:pPr>
      <w:r w:rsidRPr="0031369B">
        <w:rPr>
          <w:rFonts w:ascii="Garamond" w:hAnsi="Garamond" w:cs="Times New Roman"/>
          <w:sz w:val="24"/>
          <w:szCs w:val="24"/>
        </w:rPr>
        <w:t xml:space="preserve">Hillygus, D. Sunshine, &amp; Simon Jackman. 2003. “Voter Decision Making in Election 2000: Campaign Effects, Partisan Activation, and the Clinton Legacy.” </w:t>
      </w:r>
      <w:r w:rsidRPr="0031369B">
        <w:rPr>
          <w:rFonts w:ascii="Garamond" w:hAnsi="Garamond" w:cs="Times New Roman"/>
          <w:i/>
          <w:sz w:val="24"/>
          <w:szCs w:val="24"/>
        </w:rPr>
        <w:t>American Journal of Political Science,</w:t>
      </w:r>
      <w:r w:rsidRPr="0031369B">
        <w:rPr>
          <w:rFonts w:ascii="Garamond" w:hAnsi="Garamond" w:cs="Times New Roman"/>
          <w:sz w:val="24"/>
          <w:szCs w:val="24"/>
        </w:rPr>
        <w:t xml:space="preserve"> 47 (4): 583-596.</w:t>
      </w:r>
    </w:p>
    <w:p w14:paraId="4BF61029" w14:textId="67792EE6" w:rsidR="005B223D" w:rsidRPr="0031369B" w:rsidRDefault="005B223D" w:rsidP="0031369B">
      <w:pPr>
        <w:spacing w:after="0" w:line="480" w:lineRule="auto"/>
        <w:ind w:left="720" w:hanging="720"/>
        <w:rPr>
          <w:rStyle w:val="apple-converted-space"/>
          <w:rFonts w:ascii="Garamond" w:hAnsi="Garamond" w:cs="Arial"/>
          <w:color w:val="222222"/>
          <w:sz w:val="24"/>
          <w:szCs w:val="24"/>
          <w:shd w:val="clear" w:color="auto" w:fill="FFFFFF"/>
        </w:rPr>
      </w:pPr>
      <w:r w:rsidRPr="0031369B">
        <w:rPr>
          <w:rFonts w:ascii="Garamond" w:hAnsi="Garamond" w:cs="Arial"/>
          <w:color w:val="222222"/>
          <w:sz w:val="24"/>
          <w:szCs w:val="24"/>
          <w:shd w:val="clear" w:color="auto" w:fill="FFFFFF"/>
        </w:rPr>
        <w:t>Huber, Gregory A. &amp; Kevin Arceneaux</w:t>
      </w:r>
      <w:r w:rsidR="00B2695E" w:rsidRPr="0031369B">
        <w:rPr>
          <w:rFonts w:ascii="Garamond" w:hAnsi="Garamond" w:cs="Arial"/>
          <w:color w:val="222222"/>
          <w:sz w:val="24"/>
          <w:szCs w:val="24"/>
          <w:shd w:val="clear" w:color="auto" w:fill="FFFFFF"/>
        </w:rPr>
        <w:t>. 2007. “</w:t>
      </w:r>
      <w:r w:rsidRPr="0031369B">
        <w:rPr>
          <w:rFonts w:ascii="Garamond" w:hAnsi="Garamond" w:cs="Arial"/>
          <w:color w:val="222222"/>
          <w:sz w:val="24"/>
          <w:szCs w:val="24"/>
          <w:shd w:val="clear" w:color="auto" w:fill="FFFFFF"/>
        </w:rPr>
        <w:t>Identifying the Persuasive Effects of Presidential Advertising.</w:t>
      </w:r>
      <w:r w:rsidR="00B2695E" w:rsidRPr="0031369B">
        <w:rPr>
          <w:rFonts w:ascii="Garamond" w:hAnsi="Garamond" w:cs="Arial"/>
          <w:color w:val="222222"/>
          <w:sz w:val="24"/>
          <w:szCs w:val="24"/>
          <w:shd w:val="clear" w:color="auto" w:fill="FFFFFF"/>
        </w:rPr>
        <w:t>”</w:t>
      </w:r>
      <w:r w:rsidRPr="0031369B">
        <w:rPr>
          <w:rFonts w:ascii="Garamond" w:hAnsi="Garamond" w:cs="Arial"/>
          <w:color w:val="222222"/>
          <w:sz w:val="24"/>
          <w:szCs w:val="24"/>
          <w:shd w:val="clear" w:color="auto" w:fill="FFFFFF"/>
        </w:rPr>
        <w:t xml:space="preserve"> </w:t>
      </w:r>
      <w:r w:rsidRPr="0031369B">
        <w:rPr>
          <w:rFonts w:ascii="Garamond" w:hAnsi="Garamond" w:cs="Arial"/>
          <w:i/>
          <w:color w:val="222222"/>
          <w:sz w:val="24"/>
          <w:szCs w:val="24"/>
          <w:shd w:val="clear" w:color="auto" w:fill="FFFFFF"/>
        </w:rPr>
        <w:t>American Journal of Political Science</w:t>
      </w:r>
      <w:r w:rsidR="00B2695E" w:rsidRPr="0031369B">
        <w:rPr>
          <w:rFonts w:ascii="Garamond" w:hAnsi="Garamond" w:cs="Arial"/>
          <w:color w:val="222222"/>
          <w:sz w:val="24"/>
          <w:szCs w:val="24"/>
          <w:shd w:val="clear" w:color="auto" w:fill="FFFFFF"/>
        </w:rPr>
        <w:t>,</w:t>
      </w:r>
      <w:r w:rsidRPr="0031369B">
        <w:rPr>
          <w:rFonts w:ascii="Garamond" w:hAnsi="Garamond" w:cs="Arial"/>
          <w:color w:val="222222"/>
          <w:sz w:val="24"/>
          <w:szCs w:val="24"/>
          <w:shd w:val="clear" w:color="auto" w:fill="FFFFFF"/>
        </w:rPr>
        <w:t xml:space="preserve"> 51(4): 957-977.</w:t>
      </w:r>
      <w:r w:rsidRPr="0031369B">
        <w:rPr>
          <w:rStyle w:val="apple-converted-space"/>
          <w:rFonts w:ascii="Garamond" w:hAnsi="Garamond" w:cs="Arial"/>
          <w:color w:val="222222"/>
          <w:sz w:val="24"/>
          <w:szCs w:val="24"/>
          <w:shd w:val="clear" w:color="auto" w:fill="FFFFFF"/>
        </w:rPr>
        <w:t> </w:t>
      </w:r>
    </w:p>
    <w:p w14:paraId="6EF4DDF5" w14:textId="0A79D00C" w:rsidR="00006463" w:rsidRPr="0031369B" w:rsidRDefault="00006463" w:rsidP="0031369B">
      <w:pPr>
        <w:spacing w:after="0" w:line="480" w:lineRule="auto"/>
        <w:ind w:left="720" w:hanging="720"/>
        <w:rPr>
          <w:rStyle w:val="apple-converted-space"/>
          <w:rFonts w:ascii="Garamond" w:hAnsi="Garamond" w:cs="Arial"/>
          <w:color w:val="222222"/>
          <w:sz w:val="24"/>
          <w:szCs w:val="24"/>
          <w:shd w:val="clear" w:color="auto" w:fill="FFFFFF"/>
        </w:rPr>
      </w:pPr>
      <w:r w:rsidRPr="0031369B">
        <w:rPr>
          <w:rStyle w:val="apple-converted-space"/>
          <w:rFonts w:ascii="Garamond" w:hAnsi="Garamond" w:cs="Arial"/>
          <w:color w:val="222222"/>
          <w:sz w:val="24"/>
          <w:szCs w:val="24"/>
          <w:shd w:val="clear" w:color="auto" w:fill="FFFFFF"/>
        </w:rPr>
        <w:t xml:space="preserve">Issenberg, Sasha. 2012. </w:t>
      </w:r>
      <w:r w:rsidRPr="0031369B">
        <w:rPr>
          <w:rStyle w:val="apple-converted-space"/>
          <w:rFonts w:ascii="Garamond" w:hAnsi="Garamond" w:cs="Arial"/>
          <w:i/>
          <w:color w:val="222222"/>
          <w:sz w:val="24"/>
          <w:szCs w:val="24"/>
          <w:shd w:val="clear" w:color="auto" w:fill="FFFFFF"/>
        </w:rPr>
        <w:t>The Victory Lab</w:t>
      </w:r>
      <w:r w:rsidRPr="0031369B">
        <w:rPr>
          <w:rStyle w:val="apple-converted-space"/>
          <w:rFonts w:ascii="Garamond" w:hAnsi="Garamond" w:cs="Arial"/>
          <w:color w:val="222222"/>
          <w:sz w:val="24"/>
          <w:szCs w:val="24"/>
          <w:shd w:val="clear" w:color="auto" w:fill="FFFFFF"/>
        </w:rPr>
        <w:t>. New York, NY: Random House.</w:t>
      </w:r>
    </w:p>
    <w:p w14:paraId="428D8214" w14:textId="77777777" w:rsidR="0031369B" w:rsidRPr="0031369B" w:rsidRDefault="0031369B" w:rsidP="0031369B">
      <w:pPr>
        <w:spacing w:after="0" w:line="480" w:lineRule="auto"/>
        <w:ind w:left="720" w:hanging="720"/>
        <w:rPr>
          <w:rFonts w:ascii="Garamond" w:hAnsi="Garamond"/>
          <w:sz w:val="24"/>
          <w:szCs w:val="24"/>
        </w:rPr>
      </w:pPr>
      <w:r w:rsidRPr="0031369B">
        <w:rPr>
          <w:rFonts w:ascii="Garamond" w:hAnsi="Garamond"/>
          <w:sz w:val="24"/>
          <w:szCs w:val="24"/>
        </w:rPr>
        <w:t xml:space="preserve">Iyengar, Shanto, and Adam Simon. 2000. “New Perspectives and Evidence on Political Communication and Campaign Effects.” </w:t>
      </w:r>
      <w:r w:rsidRPr="0031369B">
        <w:rPr>
          <w:rFonts w:ascii="Garamond" w:hAnsi="Garamond"/>
          <w:i/>
          <w:sz w:val="24"/>
          <w:szCs w:val="24"/>
        </w:rPr>
        <w:t>Annual Review of Psychology</w:t>
      </w:r>
      <w:r w:rsidRPr="0031369B">
        <w:rPr>
          <w:rFonts w:ascii="Garamond" w:hAnsi="Garamond"/>
          <w:sz w:val="24"/>
          <w:szCs w:val="24"/>
        </w:rPr>
        <w:t>, 2000, 51:149- 169.</w:t>
      </w:r>
    </w:p>
    <w:p w14:paraId="7CC10132" w14:textId="135A8D87" w:rsidR="00006463" w:rsidRPr="0031369B" w:rsidRDefault="00006463" w:rsidP="0031369B">
      <w:pPr>
        <w:spacing w:after="0" w:line="480" w:lineRule="auto"/>
        <w:ind w:left="720" w:hanging="720"/>
        <w:rPr>
          <w:rFonts w:ascii="Garamond" w:hAnsi="Garamond"/>
          <w:sz w:val="24"/>
          <w:szCs w:val="24"/>
        </w:rPr>
      </w:pPr>
      <w:r w:rsidRPr="0031369B">
        <w:rPr>
          <w:rFonts w:ascii="Garamond" w:hAnsi="Garamond"/>
          <w:sz w:val="24"/>
          <w:szCs w:val="24"/>
        </w:rPr>
        <w:t xml:space="preserve">Iyengar, Shanto, &amp; Sean Westwood. 2015. “Fear and Loathing </w:t>
      </w:r>
      <w:r w:rsidR="00673CCA" w:rsidRPr="0031369B">
        <w:rPr>
          <w:rFonts w:ascii="Garamond" w:hAnsi="Garamond"/>
          <w:sz w:val="24"/>
          <w:szCs w:val="24"/>
        </w:rPr>
        <w:t>across</w:t>
      </w:r>
      <w:r w:rsidRPr="0031369B">
        <w:rPr>
          <w:rFonts w:ascii="Garamond" w:hAnsi="Garamond"/>
          <w:sz w:val="24"/>
          <w:szCs w:val="24"/>
        </w:rPr>
        <w:t xml:space="preserve"> Pa</w:t>
      </w:r>
      <w:r w:rsidR="009243A7">
        <w:rPr>
          <w:rFonts w:ascii="Garamond" w:hAnsi="Garamond"/>
          <w:sz w:val="24"/>
          <w:szCs w:val="24"/>
        </w:rPr>
        <w:t>rty</w:t>
      </w:r>
      <w:r w:rsidRPr="0031369B">
        <w:rPr>
          <w:rFonts w:ascii="Garamond" w:hAnsi="Garamond"/>
          <w:sz w:val="24"/>
          <w:szCs w:val="24"/>
        </w:rPr>
        <w:t xml:space="preserve"> Lines: New Evidence on Group Polarization.” </w:t>
      </w:r>
      <w:r w:rsidRPr="0031369B">
        <w:rPr>
          <w:rFonts w:ascii="Garamond" w:hAnsi="Garamond"/>
          <w:i/>
          <w:sz w:val="24"/>
          <w:szCs w:val="24"/>
        </w:rPr>
        <w:t>American Journal of Political Science</w:t>
      </w:r>
      <w:r w:rsidRPr="0031369B">
        <w:rPr>
          <w:rFonts w:ascii="Garamond" w:hAnsi="Garamond"/>
          <w:sz w:val="24"/>
          <w:szCs w:val="24"/>
        </w:rPr>
        <w:t>, 59 (3): 690-707.</w:t>
      </w:r>
    </w:p>
    <w:p w14:paraId="6242ECF2" w14:textId="77777777" w:rsidR="0031369B" w:rsidRPr="0031369B" w:rsidRDefault="0031369B" w:rsidP="0031369B">
      <w:pPr>
        <w:spacing w:after="0" w:line="480" w:lineRule="auto"/>
        <w:ind w:left="720" w:hanging="720"/>
        <w:rPr>
          <w:rFonts w:ascii="Garamond" w:hAnsi="Garamond"/>
          <w:sz w:val="24"/>
          <w:szCs w:val="24"/>
        </w:rPr>
      </w:pPr>
      <w:r w:rsidRPr="0031369B">
        <w:rPr>
          <w:rFonts w:ascii="Garamond" w:hAnsi="Garamond"/>
          <w:sz w:val="24"/>
          <w:szCs w:val="24"/>
        </w:rPr>
        <w:t xml:space="preserve">Krasno, Jonathan, &amp; Donald Green. 2008. “Do Televised Presidential Ads Increase Voter Turnout? Evidence from a Natural Experiment.” </w:t>
      </w:r>
      <w:r w:rsidRPr="0031369B">
        <w:rPr>
          <w:rFonts w:ascii="Garamond" w:hAnsi="Garamond"/>
          <w:i/>
          <w:sz w:val="24"/>
          <w:szCs w:val="24"/>
        </w:rPr>
        <w:t>Journal of Politics</w:t>
      </w:r>
      <w:r w:rsidRPr="0031369B">
        <w:rPr>
          <w:rFonts w:ascii="Garamond" w:hAnsi="Garamond"/>
          <w:sz w:val="24"/>
          <w:szCs w:val="24"/>
        </w:rPr>
        <w:t>, 70 (1): 245-261.</w:t>
      </w:r>
    </w:p>
    <w:p w14:paraId="62BE8A0D" w14:textId="223BB522" w:rsidR="000D0681" w:rsidRPr="0031369B" w:rsidRDefault="000D0681" w:rsidP="0031369B">
      <w:pPr>
        <w:spacing w:after="0" w:line="480" w:lineRule="auto"/>
        <w:ind w:left="720" w:hanging="720"/>
        <w:rPr>
          <w:rStyle w:val="apple-converted-space"/>
          <w:rFonts w:ascii="Garamond" w:hAnsi="Garamond" w:cs="Arial"/>
          <w:color w:val="222222"/>
          <w:sz w:val="24"/>
          <w:szCs w:val="24"/>
          <w:shd w:val="clear" w:color="auto" w:fill="FFFFFF"/>
        </w:rPr>
      </w:pPr>
      <w:r w:rsidRPr="0031369B">
        <w:rPr>
          <w:rStyle w:val="apple-converted-space"/>
          <w:rFonts w:ascii="Garamond" w:hAnsi="Garamond" w:cs="Arial"/>
          <w:color w:val="222222"/>
          <w:sz w:val="24"/>
          <w:szCs w:val="24"/>
          <w:shd w:val="clear" w:color="auto" w:fill="FFFFFF"/>
        </w:rPr>
        <w:t xml:space="preserve">Pfau, Michael, R. Lance Holbert, Erin Szabo, &amp; Kelly Kaminski. 2002. “Issue-Advocacy Versus Candidate Advertising: Effects on Candidate Preferences and Democratic Process.” </w:t>
      </w:r>
      <w:r w:rsidRPr="0031369B">
        <w:rPr>
          <w:rStyle w:val="apple-converted-space"/>
          <w:rFonts w:ascii="Garamond" w:hAnsi="Garamond" w:cs="Arial"/>
          <w:i/>
          <w:color w:val="222222"/>
          <w:sz w:val="24"/>
          <w:szCs w:val="24"/>
          <w:shd w:val="clear" w:color="auto" w:fill="FFFFFF"/>
        </w:rPr>
        <w:t>Journal of Communication</w:t>
      </w:r>
      <w:r w:rsidRPr="0031369B">
        <w:rPr>
          <w:rStyle w:val="apple-converted-space"/>
          <w:rFonts w:ascii="Garamond" w:hAnsi="Garamond" w:cs="Arial"/>
          <w:color w:val="222222"/>
          <w:sz w:val="24"/>
          <w:szCs w:val="24"/>
          <w:shd w:val="clear" w:color="auto" w:fill="FFFFFF"/>
        </w:rPr>
        <w:t>, 52 (2): 301-315.</w:t>
      </w:r>
    </w:p>
    <w:p w14:paraId="662713E2" w14:textId="78670F50" w:rsidR="00B2695E" w:rsidRPr="0031369B" w:rsidRDefault="009C6281" w:rsidP="0031369B">
      <w:pPr>
        <w:spacing w:after="0" w:line="480" w:lineRule="auto"/>
        <w:ind w:left="720" w:hanging="720"/>
        <w:rPr>
          <w:rFonts w:ascii="Garamond" w:hAnsi="Garamond" w:cs="Times New Roman"/>
          <w:sz w:val="24"/>
          <w:szCs w:val="24"/>
        </w:rPr>
      </w:pPr>
      <w:r w:rsidRPr="0031369B">
        <w:rPr>
          <w:rFonts w:ascii="Garamond" w:hAnsi="Garamond" w:cs="Times New Roman"/>
          <w:sz w:val="24"/>
          <w:szCs w:val="24"/>
        </w:rPr>
        <w:t xml:space="preserve">Ridout, Travis, &amp; Michael Franz. 2011. </w:t>
      </w:r>
      <w:r w:rsidRPr="0031369B">
        <w:rPr>
          <w:rFonts w:ascii="Garamond" w:hAnsi="Garamond" w:cs="Times New Roman"/>
          <w:i/>
          <w:sz w:val="24"/>
          <w:szCs w:val="24"/>
        </w:rPr>
        <w:t>The Persuasive Power of Campaign Advertising</w:t>
      </w:r>
      <w:r w:rsidRPr="0031369B">
        <w:rPr>
          <w:rFonts w:ascii="Garamond" w:hAnsi="Garamond" w:cs="Times New Roman"/>
          <w:sz w:val="24"/>
          <w:szCs w:val="24"/>
        </w:rPr>
        <w:t>. Philadelphia, PA: Temple University Press.</w:t>
      </w:r>
      <w:r w:rsidR="00B2695E" w:rsidRPr="0031369B">
        <w:rPr>
          <w:rFonts w:ascii="Garamond" w:hAnsi="Garamond" w:cs="Times New Roman"/>
          <w:sz w:val="24"/>
          <w:szCs w:val="24"/>
        </w:rPr>
        <w:t xml:space="preserve"> </w:t>
      </w:r>
    </w:p>
    <w:p w14:paraId="04EB66DA" w14:textId="292109B4" w:rsidR="007D1244" w:rsidRPr="0031369B" w:rsidRDefault="007D1244" w:rsidP="0031369B">
      <w:pPr>
        <w:spacing w:after="0" w:line="480" w:lineRule="auto"/>
        <w:ind w:left="720" w:hanging="720"/>
        <w:rPr>
          <w:rFonts w:ascii="Garamond" w:hAnsi="Garamond" w:cs="Times New Roman"/>
          <w:sz w:val="24"/>
          <w:szCs w:val="24"/>
        </w:rPr>
      </w:pPr>
      <w:r w:rsidRPr="0031369B">
        <w:rPr>
          <w:rFonts w:ascii="Garamond" w:hAnsi="Garamond" w:cs="Times New Roman"/>
          <w:sz w:val="24"/>
          <w:szCs w:val="24"/>
        </w:rPr>
        <w:t xml:space="preserve">Shaw, Daron R. 2006. </w:t>
      </w:r>
      <w:r w:rsidRPr="0031369B">
        <w:rPr>
          <w:rFonts w:ascii="Garamond" w:hAnsi="Garamond" w:cs="Times New Roman"/>
          <w:i/>
          <w:sz w:val="24"/>
          <w:szCs w:val="24"/>
        </w:rPr>
        <w:t>The Race to 270</w:t>
      </w:r>
      <w:r w:rsidR="00B676EA" w:rsidRPr="0031369B">
        <w:rPr>
          <w:rFonts w:ascii="Garamond" w:hAnsi="Garamond" w:cs="Times New Roman"/>
          <w:sz w:val="24"/>
          <w:szCs w:val="24"/>
        </w:rPr>
        <w:t xml:space="preserve">. </w:t>
      </w:r>
      <w:r w:rsidRPr="0031369B">
        <w:rPr>
          <w:rFonts w:ascii="Garamond" w:hAnsi="Garamond" w:cs="Times New Roman"/>
          <w:sz w:val="24"/>
          <w:szCs w:val="24"/>
        </w:rPr>
        <w:t>University of Chicago Press.</w:t>
      </w:r>
    </w:p>
    <w:p w14:paraId="598ED504" w14:textId="213EA735" w:rsidR="00B87AD1" w:rsidRPr="0031369B" w:rsidRDefault="00B87AD1" w:rsidP="0031369B">
      <w:pPr>
        <w:spacing w:after="0" w:line="480" w:lineRule="auto"/>
        <w:ind w:left="720" w:hanging="720"/>
        <w:rPr>
          <w:rFonts w:ascii="Garamond" w:hAnsi="Garamond" w:cs="Times New Roman"/>
          <w:sz w:val="24"/>
          <w:szCs w:val="24"/>
        </w:rPr>
      </w:pPr>
      <w:r w:rsidRPr="0031369B">
        <w:rPr>
          <w:rFonts w:ascii="Garamond" w:hAnsi="Garamond" w:cs="Times New Roman"/>
          <w:sz w:val="24"/>
          <w:szCs w:val="24"/>
        </w:rPr>
        <w:t xml:space="preserve">Zaller, John, 1992. </w:t>
      </w:r>
      <w:r w:rsidRPr="0031369B">
        <w:rPr>
          <w:rFonts w:ascii="Garamond" w:hAnsi="Garamond" w:cs="Times New Roman"/>
          <w:i/>
          <w:sz w:val="24"/>
          <w:szCs w:val="24"/>
        </w:rPr>
        <w:t>The Nature and Origins of Mass Opinion</w:t>
      </w:r>
      <w:r w:rsidRPr="0031369B">
        <w:rPr>
          <w:rFonts w:ascii="Garamond" w:hAnsi="Garamond" w:cs="Times New Roman"/>
          <w:sz w:val="24"/>
          <w:szCs w:val="24"/>
        </w:rPr>
        <w:t>. Cambridge University Press.</w:t>
      </w:r>
    </w:p>
    <w:sectPr w:rsidR="00B87AD1" w:rsidRPr="0031369B" w:rsidSect="00351048">
      <w:footerReference w:type="default" r:id="rId25"/>
      <w:endnotePr>
        <w:numFmt w:val="decimal"/>
      </w:endnotePr>
      <w:pgSz w:w="12240" w:h="15840" w:code="1"/>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F0924" w14:textId="77777777" w:rsidR="003D75A1" w:rsidRDefault="003D75A1" w:rsidP="000E1519">
      <w:pPr>
        <w:spacing w:after="0" w:line="240" w:lineRule="auto"/>
      </w:pPr>
      <w:r>
        <w:separator/>
      </w:r>
    </w:p>
  </w:endnote>
  <w:endnote w:type="continuationSeparator" w:id="0">
    <w:p w14:paraId="40B97CC1" w14:textId="77777777" w:rsidR="003D75A1" w:rsidRDefault="003D75A1" w:rsidP="000E1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703304"/>
      <w:docPartObj>
        <w:docPartGallery w:val="Page Numbers (Bottom of Page)"/>
        <w:docPartUnique/>
      </w:docPartObj>
    </w:sdtPr>
    <w:sdtEndPr>
      <w:rPr>
        <w:noProof/>
      </w:rPr>
    </w:sdtEndPr>
    <w:sdtContent>
      <w:p w14:paraId="6302108B" w14:textId="77777777" w:rsidR="003D75A1" w:rsidRDefault="003D75A1">
        <w:pPr>
          <w:pStyle w:val="Footer"/>
          <w:jc w:val="right"/>
        </w:pPr>
        <w:r w:rsidRPr="00AB1D4B">
          <w:rPr>
            <w:rFonts w:ascii="Times New Roman" w:hAnsi="Times New Roman" w:cs="Times New Roman"/>
          </w:rPr>
          <w:fldChar w:fldCharType="begin"/>
        </w:r>
        <w:r w:rsidRPr="00AB1D4B">
          <w:rPr>
            <w:rFonts w:ascii="Times New Roman" w:hAnsi="Times New Roman" w:cs="Times New Roman"/>
          </w:rPr>
          <w:instrText xml:space="preserve"> PAGE   \* MERGEFORMAT </w:instrText>
        </w:r>
        <w:r w:rsidRPr="00AB1D4B">
          <w:rPr>
            <w:rFonts w:ascii="Times New Roman" w:hAnsi="Times New Roman" w:cs="Times New Roman"/>
          </w:rPr>
          <w:fldChar w:fldCharType="separate"/>
        </w:r>
        <w:r w:rsidR="00422B28">
          <w:rPr>
            <w:rFonts w:ascii="Times New Roman" w:hAnsi="Times New Roman" w:cs="Times New Roman"/>
            <w:noProof/>
          </w:rPr>
          <w:t>0</w:t>
        </w:r>
        <w:r w:rsidRPr="00AB1D4B">
          <w:rPr>
            <w:rFonts w:ascii="Times New Roman" w:hAnsi="Times New Roman" w:cs="Times New Roman"/>
            <w:noProof/>
          </w:rPr>
          <w:fldChar w:fldCharType="end"/>
        </w:r>
      </w:p>
    </w:sdtContent>
  </w:sdt>
  <w:p w14:paraId="61418F1E" w14:textId="77777777" w:rsidR="003D75A1" w:rsidRDefault="003D7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BB343" w14:textId="77777777" w:rsidR="003D75A1" w:rsidRDefault="003D75A1" w:rsidP="000E1519">
      <w:pPr>
        <w:spacing w:after="0" w:line="240" w:lineRule="auto"/>
      </w:pPr>
      <w:r>
        <w:separator/>
      </w:r>
    </w:p>
  </w:footnote>
  <w:footnote w:type="continuationSeparator" w:id="0">
    <w:p w14:paraId="1DCD6633" w14:textId="77777777" w:rsidR="003D75A1" w:rsidRDefault="003D75A1" w:rsidP="000E1519">
      <w:pPr>
        <w:spacing w:after="0" w:line="240" w:lineRule="auto"/>
      </w:pPr>
      <w:r>
        <w:continuationSeparator/>
      </w:r>
    </w:p>
  </w:footnote>
  <w:footnote w:id="1">
    <w:p w14:paraId="753F1C1D" w14:textId="17C72FCE" w:rsidR="003D75A1" w:rsidRPr="005756A6" w:rsidRDefault="003D75A1" w:rsidP="005D26F4">
      <w:pPr>
        <w:pStyle w:val="FootnoteText"/>
        <w:spacing w:line="480" w:lineRule="auto"/>
        <w:rPr>
          <w:rFonts w:ascii="Garamond" w:hAnsi="Garamond"/>
          <w:sz w:val="24"/>
          <w:szCs w:val="24"/>
        </w:rPr>
      </w:pPr>
      <w:r w:rsidRPr="005756A6">
        <w:rPr>
          <w:rStyle w:val="FootnoteReference"/>
          <w:rFonts w:ascii="Garamond" w:hAnsi="Garamond"/>
          <w:sz w:val="24"/>
          <w:szCs w:val="24"/>
        </w:rPr>
        <w:footnoteRef/>
      </w:r>
      <w:r w:rsidRPr="005756A6">
        <w:rPr>
          <w:rFonts w:ascii="Garamond" w:hAnsi="Garamond"/>
          <w:sz w:val="24"/>
          <w:szCs w:val="24"/>
        </w:rPr>
        <w:t xml:space="preserve"> </w:t>
      </w:r>
      <w:r>
        <w:rPr>
          <w:rFonts w:ascii="Garamond" w:hAnsi="Garamond"/>
          <w:sz w:val="24"/>
          <w:szCs w:val="24"/>
        </w:rPr>
        <w:t>W</w:t>
      </w:r>
      <w:r w:rsidRPr="005756A6">
        <w:rPr>
          <w:rFonts w:ascii="Garamond" w:hAnsi="Garamond"/>
          <w:sz w:val="24"/>
          <w:szCs w:val="24"/>
        </w:rPr>
        <w:t xml:space="preserve">e </w:t>
      </w:r>
      <w:r>
        <w:rPr>
          <w:rFonts w:ascii="Garamond" w:hAnsi="Garamond"/>
          <w:sz w:val="24"/>
          <w:szCs w:val="24"/>
        </w:rPr>
        <w:t>use</w:t>
      </w:r>
      <w:r w:rsidRPr="005756A6">
        <w:rPr>
          <w:rFonts w:ascii="Garamond" w:hAnsi="Garamond"/>
          <w:sz w:val="24"/>
          <w:szCs w:val="24"/>
        </w:rPr>
        <w:t xml:space="preserve"> these terms interchangeably since campaign modes that are repeat a message many times also tend to aim these messages at wide audiences.</w:t>
      </w:r>
    </w:p>
  </w:footnote>
  <w:footnote w:id="2">
    <w:p w14:paraId="31CBDFA3" w14:textId="76FB1621" w:rsidR="003D75A1" w:rsidRPr="005756A6" w:rsidRDefault="003D75A1" w:rsidP="00D242BA">
      <w:pPr>
        <w:pStyle w:val="FootnoteText"/>
        <w:spacing w:line="480" w:lineRule="auto"/>
        <w:rPr>
          <w:rFonts w:ascii="Garamond" w:hAnsi="Garamond"/>
          <w:sz w:val="24"/>
          <w:szCs w:val="24"/>
        </w:rPr>
      </w:pPr>
      <w:r w:rsidRPr="005756A6">
        <w:rPr>
          <w:rStyle w:val="FootnoteReference"/>
          <w:rFonts w:ascii="Garamond" w:hAnsi="Garamond"/>
          <w:sz w:val="24"/>
          <w:szCs w:val="24"/>
        </w:rPr>
        <w:footnoteRef/>
      </w:r>
      <w:r w:rsidRPr="005756A6">
        <w:rPr>
          <w:rFonts w:ascii="Garamond" w:hAnsi="Garamond"/>
          <w:sz w:val="24"/>
          <w:szCs w:val="24"/>
        </w:rPr>
        <w:t xml:space="preserve"> Some </w:t>
      </w:r>
      <w:r>
        <w:rPr>
          <w:rFonts w:ascii="Garamond" w:hAnsi="Garamond"/>
          <w:sz w:val="24"/>
          <w:szCs w:val="24"/>
        </w:rPr>
        <w:t xml:space="preserve">contend </w:t>
      </w:r>
      <w:r w:rsidRPr="005756A6">
        <w:rPr>
          <w:rFonts w:ascii="Garamond" w:hAnsi="Garamond"/>
          <w:sz w:val="24"/>
          <w:szCs w:val="24"/>
        </w:rPr>
        <w:t xml:space="preserve">that highly aware citizens are the most likely to be affected by political messages. But </w:t>
      </w:r>
      <w:r>
        <w:rPr>
          <w:rFonts w:ascii="Garamond" w:hAnsi="Garamond"/>
          <w:sz w:val="24"/>
          <w:szCs w:val="24"/>
        </w:rPr>
        <w:t>most of these consider</w:t>
      </w:r>
      <w:r w:rsidRPr="005756A6">
        <w:rPr>
          <w:rFonts w:ascii="Garamond" w:hAnsi="Garamond"/>
          <w:sz w:val="24"/>
          <w:szCs w:val="24"/>
        </w:rPr>
        <w:t xml:space="preserve"> news messages, not political advertising, and </w:t>
      </w:r>
      <w:r>
        <w:rPr>
          <w:rFonts w:ascii="Garamond" w:hAnsi="Garamond"/>
          <w:sz w:val="24"/>
          <w:szCs w:val="24"/>
        </w:rPr>
        <w:t xml:space="preserve">focus on </w:t>
      </w:r>
      <w:r w:rsidRPr="005756A6">
        <w:rPr>
          <w:rFonts w:ascii="Garamond" w:hAnsi="Garamond"/>
          <w:sz w:val="24"/>
          <w:szCs w:val="24"/>
        </w:rPr>
        <w:t>the activation of issues used to evaluate the candidates (“priming”) as opposed to persuasion (</w:t>
      </w:r>
      <w:r>
        <w:rPr>
          <w:rFonts w:ascii="Garamond" w:hAnsi="Garamond"/>
          <w:sz w:val="24"/>
          <w:szCs w:val="24"/>
        </w:rPr>
        <w:t xml:space="preserve">e.g., </w:t>
      </w:r>
      <w:r w:rsidRPr="005756A6">
        <w:rPr>
          <w:rFonts w:ascii="Garamond" w:hAnsi="Garamond"/>
          <w:sz w:val="24"/>
          <w:szCs w:val="24"/>
        </w:rPr>
        <w:t xml:space="preserve">Druckman, 2004).   </w:t>
      </w:r>
    </w:p>
  </w:footnote>
  <w:footnote w:id="3">
    <w:p w14:paraId="054F2B6E" w14:textId="4439ADD7" w:rsidR="003D75A1" w:rsidRPr="005756A6" w:rsidRDefault="003D75A1" w:rsidP="00954D61">
      <w:pPr>
        <w:pStyle w:val="FootnoteText"/>
        <w:spacing w:line="480" w:lineRule="auto"/>
        <w:rPr>
          <w:rFonts w:ascii="Garamond" w:hAnsi="Garamond" w:cs="Times New Roman"/>
          <w:sz w:val="24"/>
          <w:szCs w:val="24"/>
        </w:rPr>
      </w:pPr>
      <w:r w:rsidRPr="005756A6">
        <w:rPr>
          <w:rStyle w:val="FootnoteReference"/>
          <w:rFonts w:ascii="Garamond" w:hAnsi="Garamond" w:cs="Times New Roman"/>
          <w:sz w:val="24"/>
          <w:szCs w:val="24"/>
        </w:rPr>
        <w:footnoteRef/>
      </w:r>
      <w:r w:rsidRPr="005756A6">
        <w:rPr>
          <w:rFonts w:ascii="Garamond" w:hAnsi="Garamond" w:cs="Times New Roman"/>
          <w:sz w:val="24"/>
          <w:szCs w:val="24"/>
        </w:rPr>
        <w:t xml:space="preserve"> The Davis campaign raised $24 million and received another $13 million from </w:t>
      </w:r>
      <w:r w:rsidRPr="005756A6">
        <w:rPr>
          <w:rFonts w:ascii="Garamond" w:hAnsi="Garamond" w:cs="Times New Roman"/>
          <w:i/>
          <w:sz w:val="24"/>
          <w:szCs w:val="24"/>
        </w:rPr>
        <w:t>Texas Victory Committee</w:t>
      </w:r>
      <w:r w:rsidRPr="005756A6">
        <w:rPr>
          <w:rFonts w:ascii="Garamond" w:hAnsi="Garamond" w:cs="Times New Roman"/>
          <w:sz w:val="24"/>
          <w:szCs w:val="24"/>
        </w:rPr>
        <w:t xml:space="preserve">, a joint effort between </w:t>
      </w:r>
      <w:r>
        <w:rPr>
          <w:rFonts w:ascii="Garamond" w:hAnsi="Garamond" w:cs="Times New Roman"/>
          <w:sz w:val="24"/>
          <w:szCs w:val="24"/>
        </w:rPr>
        <w:t>her</w:t>
      </w:r>
      <w:r w:rsidRPr="005756A6">
        <w:rPr>
          <w:rFonts w:ascii="Garamond" w:hAnsi="Garamond" w:cs="Times New Roman"/>
          <w:sz w:val="24"/>
          <w:szCs w:val="24"/>
        </w:rPr>
        <w:t xml:space="preserve"> campaign and </w:t>
      </w:r>
      <w:r w:rsidRPr="005756A6">
        <w:rPr>
          <w:rFonts w:ascii="Garamond" w:hAnsi="Garamond" w:cs="Times New Roman"/>
          <w:i/>
          <w:sz w:val="24"/>
          <w:szCs w:val="24"/>
        </w:rPr>
        <w:t>Battleground Texas</w:t>
      </w:r>
      <w:r w:rsidRPr="005756A6">
        <w:rPr>
          <w:rFonts w:ascii="Garamond" w:hAnsi="Garamond" w:cs="Times New Roman"/>
          <w:sz w:val="24"/>
          <w:szCs w:val="24"/>
        </w:rPr>
        <w:t>. Abbott spent $47 million.</w:t>
      </w:r>
    </w:p>
  </w:footnote>
  <w:footnote w:id="4">
    <w:p w14:paraId="4941D687" w14:textId="0FAEB820" w:rsidR="003D75A1" w:rsidRPr="005756A6" w:rsidRDefault="003D75A1" w:rsidP="00132283">
      <w:pPr>
        <w:pStyle w:val="FootnoteText"/>
        <w:spacing w:line="480" w:lineRule="auto"/>
        <w:rPr>
          <w:rFonts w:ascii="Garamond" w:hAnsi="Garamond" w:cs="Times New Roman"/>
          <w:sz w:val="24"/>
          <w:szCs w:val="24"/>
        </w:rPr>
      </w:pPr>
      <w:r w:rsidRPr="005756A6">
        <w:rPr>
          <w:rStyle w:val="FootnoteReference"/>
          <w:rFonts w:ascii="Garamond" w:hAnsi="Garamond" w:cs="Times New Roman"/>
          <w:sz w:val="24"/>
          <w:szCs w:val="24"/>
        </w:rPr>
        <w:footnoteRef/>
      </w:r>
      <w:r w:rsidRPr="005756A6">
        <w:rPr>
          <w:rFonts w:ascii="Garamond" w:hAnsi="Garamond" w:cs="Times New Roman"/>
          <w:sz w:val="24"/>
          <w:szCs w:val="24"/>
        </w:rPr>
        <w:t xml:space="preserve"> Due to some earlier research we had conducted, we were invited to attend this meeting.</w:t>
      </w:r>
    </w:p>
  </w:footnote>
  <w:footnote w:id="5">
    <w:p w14:paraId="1F4E3B38" w14:textId="09B9D864" w:rsidR="003D75A1" w:rsidRPr="005756A6" w:rsidRDefault="003D75A1" w:rsidP="00A660CB">
      <w:pPr>
        <w:pStyle w:val="FootnoteText"/>
        <w:spacing w:line="480" w:lineRule="auto"/>
        <w:rPr>
          <w:rFonts w:ascii="Garamond" w:hAnsi="Garamond" w:cs="Times New Roman"/>
          <w:sz w:val="24"/>
          <w:szCs w:val="24"/>
        </w:rPr>
      </w:pPr>
      <w:r w:rsidRPr="005756A6">
        <w:rPr>
          <w:rStyle w:val="FootnoteReference"/>
          <w:rFonts w:ascii="Garamond" w:hAnsi="Garamond" w:cs="Times New Roman"/>
          <w:sz w:val="24"/>
          <w:szCs w:val="24"/>
        </w:rPr>
        <w:footnoteRef/>
      </w:r>
      <w:r w:rsidRPr="005756A6">
        <w:rPr>
          <w:rFonts w:ascii="Garamond" w:hAnsi="Garamond" w:cs="Times New Roman"/>
          <w:sz w:val="24"/>
          <w:szCs w:val="24"/>
        </w:rPr>
        <w:t xml:space="preserve"> We excluded other media markets from the study because they are either too small (Victoria and Laredo) or are primarily located in another state with only partial spill-over into Texas (Sherman-Ada and Shreveport). </w:t>
      </w:r>
    </w:p>
  </w:footnote>
  <w:footnote w:id="6">
    <w:p w14:paraId="3AFAA3DC" w14:textId="5349FA55" w:rsidR="003D75A1" w:rsidRPr="005756A6" w:rsidRDefault="003D75A1" w:rsidP="00DB2D1A">
      <w:pPr>
        <w:pStyle w:val="FootnoteText"/>
        <w:tabs>
          <w:tab w:val="left" w:pos="4030"/>
          <w:tab w:val="left" w:pos="5690"/>
        </w:tabs>
        <w:spacing w:line="480" w:lineRule="auto"/>
        <w:rPr>
          <w:rFonts w:ascii="Garamond" w:hAnsi="Garamond" w:cs="Times New Roman"/>
          <w:sz w:val="24"/>
          <w:szCs w:val="24"/>
        </w:rPr>
      </w:pPr>
      <w:r w:rsidRPr="005756A6">
        <w:rPr>
          <w:rStyle w:val="FootnoteReference"/>
          <w:rFonts w:ascii="Garamond" w:hAnsi="Garamond" w:cs="Times New Roman"/>
          <w:sz w:val="24"/>
          <w:szCs w:val="24"/>
        </w:rPr>
        <w:footnoteRef/>
      </w:r>
      <w:r w:rsidRPr="005756A6">
        <w:rPr>
          <w:rFonts w:ascii="Garamond" w:hAnsi="Garamond" w:cs="Times New Roman"/>
          <w:sz w:val="24"/>
          <w:szCs w:val="24"/>
        </w:rPr>
        <w:t xml:space="preserve"> The design follows Gerber, et al. (2010). A table showing treatment-control assignments, by outreach mode, for every Texas media market is presented in the supplemental </w:t>
      </w:r>
      <w:r>
        <w:rPr>
          <w:rFonts w:ascii="Garamond" w:hAnsi="Garamond" w:cs="Times New Roman"/>
          <w:sz w:val="24"/>
          <w:szCs w:val="24"/>
        </w:rPr>
        <w:t>appendix</w:t>
      </w:r>
      <w:r w:rsidRPr="005756A6">
        <w:rPr>
          <w:rFonts w:ascii="Garamond" w:hAnsi="Garamond" w:cs="Times New Roman"/>
          <w:sz w:val="24"/>
          <w:szCs w:val="24"/>
        </w:rPr>
        <w:t>.</w:t>
      </w:r>
      <w:r w:rsidRPr="005756A6">
        <w:rPr>
          <w:rFonts w:ascii="Garamond" w:hAnsi="Garamond" w:cs="Times New Roman"/>
          <w:sz w:val="24"/>
          <w:szCs w:val="24"/>
        </w:rPr>
        <w:tab/>
        <w:t xml:space="preserve"> </w:t>
      </w:r>
    </w:p>
  </w:footnote>
  <w:footnote w:id="7">
    <w:p w14:paraId="3C6CF67B" w14:textId="77777777" w:rsidR="003D75A1" w:rsidRPr="005756A6" w:rsidRDefault="003D75A1" w:rsidP="00132283">
      <w:pPr>
        <w:pStyle w:val="FootnoteText"/>
        <w:spacing w:line="480" w:lineRule="auto"/>
        <w:rPr>
          <w:rFonts w:ascii="Garamond" w:hAnsi="Garamond" w:cs="Times New Roman"/>
          <w:sz w:val="24"/>
          <w:szCs w:val="24"/>
        </w:rPr>
      </w:pPr>
      <w:r w:rsidRPr="005756A6">
        <w:rPr>
          <w:rStyle w:val="FootnoteReference"/>
          <w:rFonts w:ascii="Garamond" w:hAnsi="Garamond" w:cs="Times New Roman"/>
          <w:sz w:val="24"/>
          <w:szCs w:val="24"/>
        </w:rPr>
        <w:footnoteRef/>
      </w:r>
      <w:r w:rsidRPr="005756A6">
        <w:rPr>
          <w:rFonts w:ascii="Garamond" w:hAnsi="Garamond" w:cs="Times New Roman"/>
          <w:sz w:val="24"/>
          <w:szCs w:val="24"/>
        </w:rPr>
        <w:t xml:space="preserve"> This is the equivalent of every targeted voter seeing the ad, on average, six times per week.</w:t>
      </w:r>
    </w:p>
  </w:footnote>
  <w:footnote w:id="8">
    <w:p w14:paraId="3B389211" w14:textId="1973EE1B" w:rsidR="003D75A1" w:rsidRPr="005756A6" w:rsidRDefault="003D75A1" w:rsidP="00132283">
      <w:pPr>
        <w:pStyle w:val="FootnoteText"/>
        <w:spacing w:line="480" w:lineRule="auto"/>
        <w:rPr>
          <w:rFonts w:ascii="Garamond" w:hAnsi="Garamond" w:cs="Times New Roman"/>
          <w:sz w:val="24"/>
          <w:szCs w:val="24"/>
        </w:rPr>
      </w:pPr>
      <w:r w:rsidRPr="005756A6">
        <w:rPr>
          <w:rStyle w:val="FootnoteReference"/>
          <w:rFonts w:ascii="Garamond" w:hAnsi="Garamond" w:cs="Times New Roman"/>
          <w:sz w:val="24"/>
          <w:szCs w:val="24"/>
        </w:rPr>
        <w:footnoteRef/>
      </w:r>
      <w:r w:rsidRPr="005756A6">
        <w:rPr>
          <w:rFonts w:ascii="Garamond" w:hAnsi="Garamond" w:cs="Times New Roman"/>
          <w:sz w:val="24"/>
          <w:szCs w:val="24"/>
        </w:rPr>
        <w:t xml:space="preserve"> </w:t>
      </w:r>
      <w:r w:rsidR="009221F9">
        <w:rPr>
          <w:rFonts w:ascii="Garamond" w:hAnsi="Garamond" w:cs="Times New Roman"/>
          <w:sz w:val="24"/>
          <w:szCs w:val="24"/>
        </w:rPr>
        <w:t xml:space="preserve">All ads and </w:t>
      </w:r>
      <w:r w:rsidRPr="005756A6">
        <w:rPr>
          <w:rFonts w:ascii="Garamond" w:hAnsi="Garamond" w:cs="Times New Roman"/>
          <w:sz w:val="24"/>
          <w:szCs w:val="24"/>
        </w:rPr>
        <w:t xml:space="preserve">direct mail pieces are available in </w:t>
      </w:r>
      <w:r>
        <w:rPr>
          <w:rFonts w:ascii="Garamond" w:hAnsi="Garamond" w:cs="Times New Roman"/>
          <w:sz w:val="24"/>
          <w:szCs w:val="24"/>
        </w:rPr>
        <w:t>our</w:t>
      </w:r>
      <w:r w:rsidRPr="005756A6">
        <w:rPr>
          <w:rFonts w:ascii="Garamond" w:hAnsi="Garamond" w:cs="Times New Roman"/>
          <w:sz w:val="24"/>
          <w:szCs w:val="24"/>
        </w:rPr>
        <w:t xml:space="preserve"> supplemental materials.</w:t>
      </w:r>
    </w:p>
  </w:footnote>
  <w:footnote w:id="9">
    <w:p w14:paraId="3D787BCF" w14:textId="5B171C3E" w:rsidR="003D75A1" w:rsidRPr="005756A6" w:rsidRDefault="003D75A1" w:rsidP="00B20376">
      <w:pPr>
        <w:pStyle w:val="FootnoteText"/>
        <w:spacing w:line="480" w:lineRule="auto"/>
        <w:rPr>
          <w:rFonts w:ascii="Garamond" w:hAnsi="Garamond" w:cs="Times New Roman"/>
          <w:sz w:val="24"/>
          <w:szCs w:val="24"/>
        </w:rPr>
      </w:pPr>
      <w:r w:rsidRPr="005756A6">
        <w:rPr>
          <w:rStyle w:val="FootnoteReference"/>
          <w:rFonts w:ascii="Garamond" w:hAnsi="Garamond" w:cs="Times New Roman"/>
          <w:sz w:val="24"/>
          <w:szCs w:val="24"/>
        </w:rPr>
        <w:footnoteRef/>
      </w:r>
      <w:r w:rsidRPr="005756A6">
        <w:rPr>
          <w:rFonts w:ascii="Garamond" w:hAnsi="Garamond" w:cs="Times New Roman"/>
          <w:sz w:val="24"/>
          <w:szCs w:val="24"/>
        </w:rPr>
        <w:t xml:space="preserve"> </w:t>
      </w:r>
      <w:r>
        <w:rPr>
          <w:rFonts w:ascii="Garamond" w:hAnsi="Garamond" w:cs="Times New Roman"/>
          <w:sz w:val="24"/>
          <w:szCs w:val="24"/>
        </w:rPr>
        <w:t>C</w:t>
      </w:r>
      <w:r w:rsidRPr="005756A6">
        <w:rPr>
          <w:rFonts w:ascii="Garamond" w:hAnsi="Garamond" w:cs="Times New Roman"/>
          <w:sz w:val="24"/>
          <w:szCs w:val="24"/>
        </w:rPr>
        <w:t xml:space="preserve">able zones </w:t>
      </w:r>
      <w:r>
        <w:rPr>
          <w:rFonts w:ascii="Garamond" w:hAnsi="Garamond" w:cs="Times New Roman"/>
          <w:sz w:val="24"/>
          <w:szCs w:val="24"/>
        </w:rPr>
        <w:t xml:space="preserve">in Texas </w:t>
      </w:r>
      <w:r w:rsidRPr="005756A6">
        <w:rPr>
          <w:rFonts w:ascii="Garamond" w:hAnsi="Garamond" w:cs="Times New Roman"/>
          <w:sz w:val="24"/>
          <w:szCs w:val="24"/>
        </w:rPr>
        <w:t>line up very closely to zip codes</w:t>
      </w:r>
      <w:r>
        <w:rPr>
          <w:rFonts w:ascii="Garamond" w:hAnsi="Garamond" w:cs="Times New Roman"/>
          <w:sz w:val="24"/>
          <w:szCs w:val="24"/>
        </w:rPr>
        <w:t xml:space="preserve">, allowing us to easily translate matched zip codes into cable zones for treatments. The </w:t>
      </w:r>
      <w:r w:rsidRPr="005756A6">
        <w:rPr>
          <w:rFonts w:ascii="Garamond" w:hAnsi="Garamond" w:cs="Times New Roman"/>
          <w:sz w:val="24"/>
          <w:szCs w:val="24"/>
        </w:rPr>
        <w:t xml:space="preserve">cable TV </w:t>
      </w:r>
      <w:r>
        <w:rPr>
          <w:rFonts w:ascii="Garamond" w:hAnsi="Garamond" w:cs="Times New Roman"/>
          <w:sz w:val="24"/>
          <w:szCs w:val="24"/>
        </w:rPr>
        <w:t xml:space="preserve">portion of the field experiment purposefully set aside </w:t>
      </w:r>
      <w:r w:rsidRPr="005756A6">
        <w:rPr>
          <w:rFonts w:ascii="Garamond" w:hAnsi="Garamond" w:cs="Times New Roman"/>
          <w:sz w:val="24"/>
          <w:szCs w:val="24"/>
        </w:rPr>
        <w:t xml:space="preserve">excluded markets (Dallas-Ft. Worth, Houston, San Antonio, and Austin) </w:t>
      </w:r>
      <w:r>
        <w:rPr>
          <w:rFonts w:ascii="Garamond" w:hAnsi="Garamond" w:cs="Times New Roman"/>
          <w:sz w:val="24"/>
          <w:szCs w:val="24"/>
        </w:rPr>
        <w:t>and</w:t>
      </w:r>
      <w:r w:rsidRPr="005756A6">
        <w:rPr>
          <w:rFonts w:ascii="Garamond" w:hAnsi="Garamond" w:cs="Times New Roman"/>
          <w:sz w:val="24"/>
          <w:szCs w:val="24"/>
        </w:rPr>
        <w:t xml:space="preserve"> control markets (Amarillo, El Paso, Wichita Falls, and Tyler). </w:t>
      </w:r>
    </w:p>
  </w:footnote>
  <w:footnote w:id="10">
    <w:p w14:paraId="6B234DEE" w14:textId="0E78A2EC" w:rsidR="003D75A1" w:rsidRPr="005756A6" w:rsidRDefault="003D75A1" w:rsidP="00132283">
      <w:pPr>
        <w:pStyle w:val="FootnoteText"/>
        <w:spacing w:line="480" w:lineRule="auto"/>
        <w:rPr>
          <w:rFonts w:ascii="Garamond" w:hAnsi="Garamond" w:cs="Times New Roman"/>
          <w:sz w:val="24"/>
          <w:szCs w:val="24"/>
        </w:rPr>
      </w:pPr>
      <w:r w:rsidRPr="005756A6">
        <w:rPr>
          <w:rStyle w:val="FootnoteReference"/>
          <w:rFonts w:ascii="Garamond" w:hAnsi="Garamond" w:cs="Times New Roman"/>
          <w:sz w:val="24"/>
          <w:szCs w:val="24"/>
        </w:rPr>
        <w:footnoteRef/>
      </w:r>
      <w:r w:rsidRPr="005756A6">
        <w:rPr>
          <w:rFonts w:ascii="Garamond" w:hAnsi="Garamond" w:cs="Times New Roman"/>
          <w:sz w:val="24"/>
          <w:szCs w:val="24"/>
        </w:rPr>
        <w:t xml:space="preserve"> The online ads’ references to Davis were </w:t>
      </w:r>
      <w:r w:rsidR="009221F9">
        <w:rPr>
          <w:rFonts w:ascii="Garamond" w:hAnsi="Garamond" w:cs="Times New Roman"/>
          <w:sz w:val="24"/>
          <w:szCs w:val="24"/>
        </w:rPr>
        <w:t>minimal</w:t>
      </w:r>
      <w:r w:rsidRPr="005756A6">
        <w:rPr>
          <w:rFonts w:ascii="Garamond" w:hAnsi="Garamond" w:cs="Times New Roman"/>
          <w:sz w:val="24"/>
          <w:szCs w:val="24"/>
        </w:rPr>
        <w:t>. The suggested link was to a positive Abbott ad.</w:t>
      </w:r>
    </w:p>
  </w:footnote>
  <w:footnote w:id="11">
    <w:p w14:paraId="4972CAD4" w14:textId="42A3A056" w:rsidR="003D75A1" w:rsidRPr="005756A6" w:rsidRDefault="003D75A1" w:rsidP="006A71E9">
      <w:pPr>
        <w:pStyle w:val="FootnoteText"/>
        <w:spacing w:line="480" w:lineRule="auto"/>
        <w:rPr>
          <w:rFonts w:ascii="Garamond" w:hAnsi="Garamond" w:cs="Times New Roman"/>
          <w:sz w:val="24"/>
          <w:szCs w:val="24"/>
        </w:rPr>
      </w:pPr>
      <w:r w:rsidRPr="005756A6">
        <w:rPr>
          <w:rStyle w:val="FootnoteReference"/>
          <w:rFonts w:ascii="Garamond" w:hAnsi="Garamond" w:cs="Times New Roman"/>
          <w:sz w:val="24"/>
          <w:szCs w:val="24"/>
        </w:rPr>
        <w:footnoteRef/>
      </w:r>
      <w:r w:rsidRPr="005756A6">
        <w:rPr>
          <w:rFonts w:ascii="Garamond" w:hAnsi="Garamond" w:cs="Times New Roman"/>
          <w:sz w:val="24"/>
          <w:szCs w:val="24"/>
        </w:rPr>
        <w:t xml:space="preserve"> Scores estimating turnout likelihood and favorability towards Abbott were based on micro-targeting models using past voting behavior, participation in a partisan primary, length of residence at current location, gender, age, race, ethnicity, marital status, and inferred issue preferences.</w:t>
      </w:r>
    </w:p>
  </w:footnote>
  <w:footnote w:id="12">
    <w:p w14:paraId="4471A4DD" w14:textId="291BD5B7" w:rsidR="003D75A1" w:rsidRPr="005756A6" w:rsidRDefault="003D75A1" w:rsidP="00565A04">
      <w:pPr>
        <w:spacing w:after="0" w:line="480" w:lineRule="auto"/>
        <w:rPr>
          <w:rFonts w:ascii="Garamond" w:hAnsi="Garamond" w:cs="Times New Roman"/>
          <w:sz w:val="24"/>
          <w:szCs w:val="24"/>
        </w:rPr>
      </w:pPr>
      <w:r w:rsidRPr="005756A6">
        <w:rPr>
          <w:rStyle w:val="FootnoteReference"/>
          <w:rFonts w:ascii="Garamond" w:hAnsi="Garamond" w:cs="Times New Roman"/>
          <w:sz w:val="24"/>
          <w:szCs w:val="24"/>
        </w:rPr>
        <w:footnoteRef/>
      </w:r>
      <w:r w:rsidRPr="005756A6">
        <w:rPr>
          <w:rFonts w:ascii="Garamond" w:hAnsi="Garamond" w:cs="Times New Roman"/>
          <w:sz w:val="24"/>
          <w:szCs w:val="24"/>
        </w:rPr>
        <w:t xml:space="preserve"> The pre-election survey was conducted on February 7-11, 2014, prior to the February 12 experiment launch date. The post-election survey was conducted on March 5-12, after the March 4 election. The response rates are relatively high compared to typical statewide survey due to the higher level of interest and engagement of likely primary voters. The absence of a cell phone supplement d</w:t>
      </w:r>
      <w:r w:rsidR="00284B48">
        <w:rPr>
          <w:rFonts w:ascii="Garamond" w:hAnsi="Garamond" w:cs="Times New Roman"/>
          <w:sz w:val="24"/>
          <w:szCs w:val="24"/>
        </w:rPr>
        <w:t xml:space="preserve">id not </w:t>
      </w:r>
      <w:r w:rsidRPr="005756A6">
        <w:rPr>
          <w:rFonts w:ascii="Garamond" w:hAnsi="Garamond" w:cs="Times New Roman"/>
          <w:sz w:val="24"/>
          <w:szCs w:val="24"/>
        </w:rPr>
        <w:t xml:space="preserve">appreciably affect the unweighted results, probably because the targeted population here resembles the landline population. The survey results are available in </w:t>
      </w:r>
      <w:r>
        <w:rPr>
          <w:rFonts w:ascii="Garamond" w:hAnsi="Garamond" w:cs="Times New Roman"/>
          <w:sz w:val="24"/>
          <w:szCs w:val="24"/>
        </w:rPr>
        <w:t>our</w:t>
      </w:r>
      <w:r w:rsidRPr="005756A6">
        <w:rPr>
          <w:rFonts w:ascii="Garamond" w:hAnsi="Garamond" w:cs="Times New Roman"/>
          <w:sz w:val="24"/>
          <w:szCs w:val="24"/>
        </w:rPr>
        <w:t xml:space="preserve"> supplemental materials. One of the “no campaign” control markets, Wichita Falls, was mistakenly omitted from the phone survey universe. This limits our ability to estimate effects from “matched” comparisons in the Wichita Falls cluster, although we can use individuals from other “no campaign” control markets—balanced with appropriate covariates—to estimate effects. </w:t>
      </w:r>
    </w:p>
  </w:footnote>
  <w:footnote w:id="13">
    <w:p w14:paraId="56CE806F" w14:textId="7EEC4007" w:rsidR="003D75A1" w:rsidRPr="005756A6" w:rsidRDefault="003D75A1" w:rsidP="00132283">
      <w:pPr>
        <w:pStyle w:val="FootnoteText"/>
        <w:spacing w:line="480" w:lineRule="auto"/>
        <w:rPr>
          <w:rFonts w:ascii="Garamond" w:hAnsi="Garamond" w:cs="Times New Roman"/>
          <w:sz w:val="24"/>
          <w:szCs w:val="24"/>
        </w:rPr>
      </w:pPr>
      <w:r w:rsidRPr="005756A6">
        <w:rPr>
          <w:rStyle w:val="FootnoteReference"/>
          <w:rFonts w:ascii="Garamond" w:hAnsi="Garamond" w:cs="Times New Roman"/>
          <w:sz w:val="24"/>
          <w:szCs w:val="24"/>
        </w:rPr>
        <w:footnoteRef/>
      </w:r>
      <w:r w:rsidRPr="005756A6">
        <w:rPr>
          <w:rFonts w:ascii="Garamond" w:hAnsi="Garamond" w:cs="Times New Roman"/>
          <w:sz w:val="24"/>
          <w:szCs w:val="24"/>
        </w:rPr>
        <w:t xml:space="preserve"> Although MCA assumptions are supported by an examination of the preliminary data, we experimented with alternative estimators, including ordered probit and multinomial logit. The significance of the estimated coefficients was strikingly similar across the estimators.</w:t>
      </w:r>
    </w:p>
  </w:footnote>
  <w:footnote w:id="14">
    <w:p w14:paraId="4B220D79" w14:textId="4BE03851" w:rsidR="003D75A1" w:rsidRPr="005756A6" w:rsidRDefault="003D75A1" w:rsidP="00F14815">
      <w:pPr>
        <w:pStyle w:val="FootnoteText"/>
        <w:spacing w:line="480" w:lineRule="auto"/>
        <w:rPr>
          <w:rFonts w:ascii="Garamond" w:hAnsi="Garamond" w:cs="Times New Roman"/>
          <w:sz w:val="24"/>
          <w:szCs w:val="24"/>
        </w:rPr>
      </w:pPr>
      <w:r w:rsidRPr="005756A6">
        <w:rPr>
          <w:rStyle w:val="FootnoteReference"/>
          <w:rFonts w:ascii="Garamond" w:hAnsi="Garamond" w:cs="Times New Roman"/>
          <w:sz w:val="24"/>
          <w:szCs w:val="24"/>
        </w:rPr>
        <w:footnoteRef/>
      </w:r>
      <w:r w:rsidRPr="005756A6">
        <w:rPr>
          <w:rFonts w:ascii="Garamond" w:hAnsi="Garamond" w:cs="Times New Roman"/>
          <w:sz w:val="24"/>
          <w:szCs w:val="24"/>
        </w:rPr>
        <w:t xml:space="preserve"> The results of these randomization tests, as well as the full ANOVA/MCA models, are available in </w:t>
      </w:r>
      <w:r>
        <w:rPr>
          <w:rFonts w:ascii="Garamond" w:hAnsi="Garamond" w:cs="Times New Roman"/>
          <w:sz w:val="24"/>
          <w:szCs w:val="24"/>
        </w:rPr>
        <w:t>our</w:t>
      </w:r>
      <w:r w:rsidRPr="005756A6">
        <w:rPr>
          <w:rFonts w:ascii="Garamond" w:hAnsi="Garamond" w:cs="Times New Roman"/>
          <w:sz w:val="24"/>
          <w:szCs w:val="24"/>
        </w:rPr>
        <w:t xml:space="preserve"> supplemental materials.</w:t>
      </w:r>
    </w:p>
  </w:footnote>
  <w:footnote w:id="15">
    <w:p w14:paraId="7243752B" w14:textId="77777777" w:rsidR="003D75A1" w:rsidRPr="005756A6" w:rsidRDefault="003D75A1" w:rsidP="00ED409D">
      <w:pPr>
        <w:pStyle w:val="FootnoteText"/>
        <w:spacing w:line="480" w:lineRule="auto"/>
        <w:rPr>
          <w:rFonts w:ascii="Garamond" w:hAnsi="Garamond" w:cs="Times New Roman"/>
          <w:sz w:val="24"/>
          <w:szCs w:val="24"/>
        </w:rPr>
      </w:pPr>
      <w:r w:rsidRPr="005756A6">
        <w:rPr>
          <w:rStyle w:val="FootnoteReference"/>
          <w:rFonts w:ascii="Garamond" w:hAnsi="Garamond" w:cs="Times New Roman"/>
          <w:sz w:val="24"/>
          <w:szCs w:val="24"/>
        </w:rPr>
        <w:footnoteRef/>
      </w:r>
      <w:r w:rsidRPr="005756A6">
        <w:rPr>
          <w:rFonts w:ascii="Garamond" w:hAnsi="Garamond" w:cs="Times New Roman"/>
          <w:sz w:val="24"/>
          <w:szCs w:val="24"/>
        </w:rPr>
        <w:t xml:space="preserve"> For simplicity’s sake, we refer to “voters” rather than “Abbott’s top fifty percent.” </w:t>
      </w:r>
    </w:p>
  </w:footnote>
  <w:footnote w:id="16">
    <w:p w14:paraId="2162D1DD" w14:textId="544C092C" w:rsidR="003D75A1" w:rsidRPr="005756A6" w:rsidRDefault="003D75A1" w:rsidP="00E60302">
      <w:pPr>
        <w:pStyle w:val="FootnoteText"/>
        <w:spacing w:line="480" w:lineRule="auto"/>
        <w:rPr>
          <w:rFonts w:ascii="Garamond" w:hAnsi="Garamond" w:cs="Times New Roman"/>
          <w:sz w:val="24"/>
          <w:szCs w:val="24"/>
        </w:rPr>
      </w:pPr>
      <w:r w:rsidRPr="005756A6">
        <w:rPr>
          <w:rStyle w:val="FootnoteReference"/>
          <w:rFonts w:ascii="Garamond" w:hAnsi="Garamond" w:cs="Times New Roman"/>
          <w:sz w:val="24"/>
          <w:szCs w:val="24"/>
        </w:rPr>
        <w:footnoteRef/>
      </w:r>
      <w:r w:rsidRPr="005756A6">
        <w:rPr>
          <w:rFonts w:ascii="Garamond" w:hAnsi="Garamond" w:cs="Times New Roman"/>
          <w:sz w:val="24"/>
          <w:szCs w:val="24"/>
        </w:rPr>
        <w:t xml:space="preserve"> </w:t>
      </w:r>
      <w:r>
        <w:rPr>
          <w:rFonts w:ascii="Garamond" w:hAnsi="Garamond" w:cs="Times New Roman"/>
          <w:sz w:val="24"/>
          <w:szCs w:val="24"/>
        </w:rPr>
        <w:t>When we r</w:t>
      </w:r>
      <w:r w:rsidRPr="005756A6">
        <w:rPr>
          <w:rFonts w:ascii="Garamond" w:hAnsi="Garamond" w:cs="Times New Roman"/>
          <w:sz w:val="24"/>
          <w:szCs w:val="24"/>
        </w:rPr>
        <w:t xml:space="preserve">efer to “persuasion” in the </w:t>
      </w:r>
      <w:r>
        <w:rPr>
          <w:rFonts w:ascii="Garamond" w:hAnsi="Garamond" w:cs="Times New Roman"/>
          <w:sz w:val="24"/>
          <w:szCs w:val="24"/>
        </w:rPr>
        <w:t>analysis</w:t>
      </w:r>
      <w:r w:rsidRPr="005756A6">
        <w:rPr>
          <w:rFonts w:ascii="Garamond" w:hAnsi="Garamond" w:cs="Times New Roman"/>
          <w:sz w:val="24"/>
          <w:szCs w:val="24"/>
        </w:rPr>
        <w:t xml:space="preserve"> we are </w:t>
      </w:r>
      <w:r>
        <w:rPr>
          <w:rFonts w:ascii="Garamond" w:hAnsi="Garamond" w:cs="Times New Roman"/>
          <w:sz w:val="24"/>
          <w:szCs w:val="24"/>
        </w:rPr>
        <w:t>(strictly speaking) referring to changes in favorability towards Abbott, which is closely related to the vote (Shaw, 2006)</w:t>
      </w:r>
      <w:r w:rsidRPr="005756A6">
        <w:rPr>
          <w:rFonts w:ascii="Garamond" w:hAnsi="Garamond" w:cs="Times New Roman"/>
          <w:sz w:val="24"/>
          <w:szCs w:val="24"/>
        </w:rPr>
        <w:t xml:space="preserve">.  </w:t>
      </w:r>
    </w:p>
  </w:footnote>
  <w:footnote w:id="17">
    <w:p w14:paraId="2BC2741E" w14:textId="05486E9E" w:rsidR="003D75A1" w:rsidRPr="002D2679" w:rsidRDefault="003D75A1" w:rsidP="002D2679">
      <w:pPr>
        <w:pStyle w:val="FootnoteText"/>
        <w:spacing w:line="480" w:lineRule="auto"/>
        <w:rPr>
          <w:rFonts w:ascii="Garamond" w:hAnsi="Garamond"/>
          <w:sz w:val="24"/>
          <w:szCs w:val="24"/>
        </w:rPr>
      </w:pPr>
      <w:r w:rsidRPr="002D2679">
        <w:rPr>
          <w:rStyle w:val="FootnoteReference"/>
          <w:rFonts w:ascii="Garamond" w:hAnsi="Garamond"/>
          <w:sz w:val="24"/>
          <w:szCs w:val="24"/>
        </w:rPr>
        <w:footnoteRef/>
      </w:r>
      <w:r w:rsidRPr="002D2679">
        <w:rPr>
          <w:rFonts w:ascii="Garamond" w:hAnsi="Garamond"/>
          <w:sz w:val="24"/>
          <w:szCs w:val="24"/>
        </w:rPr>
        <w:t xml:space="preserve"> </w:t>
      </w:r>
      <w:r w:rsidRPr="002D2679">
        <w:rPr>
          <w:rFonts w:ascii="Garamond" w:hAnsi="Garamond" w:cs="Times New Roman"/>
          <w:sz w:val="24"/>
          <w:szCs w:val="24"/>
        </w:rPr>
        <w:t>In addition, the test of Facebook advertising was further limited to those who expressed an interest in Abbott.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21BFA"/>
    <w:multiLevelType w:val="multilevel"/>
    <w:tmpl w:val="0DB4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E26F8"/>
    <w:multiLevelType w:val="hybridMultilevel"/>
    <w:tmpl w:val="B0485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D2F4B"/>
    <w:multiLevelType w:val="hybridMultilevel"/>
    <w:tmpl w:val="2648F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60ED6"/>
    <w:multiLevelType w:val="hybridMultilevel"/>
    <w:tmpl w:val="4B14D6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31370C"/>
    <w:multiLevelType w:val="hybridMultilevel"/>
    <w:tmpl w:val="18BADA8C"/>
    <w:lvl w:ilvl="0" w:tplc="E9DA1724">
      <w:start w:val="1"/>
      <w:numFmt w:val="bullet"/>
      <w:lvlText w:val="•"/>
      <w:lvlJc w:val="left"/>
      <w:pPr>
        <w:tabs>
          <w:tab w:val="num" w:pos="720"/>
        </w:tabs>
        <w:ind w:left="720" w:hanging="360"/>
      </w:pPr>
      <w:rPr>
        <w:rFonts w:ascii="Arial" w:hAnsi="Arial" w:hint="default"/>
      </w:rPr>
    </w:lvl>
    <w:lvl w:ilvl="1" w:tplc="2B72344A" w:tentative="1">
      <w:start w:val="1"/>
      <w:numFmt w:val="bullet"/>
      <w:lvlText w:val="•"/>
      <w:lvlJc w:val="left"/>
      <w:pPr>
        <w:tabs>
          <w:tab w:val="num" w:pos="1440"/>
        </w:tabs>
        <w:ind w:left="1440" w:hanging="360"/>
      </w:pPr>
      <w:rPr>
        <w:rFonts w:ascii="Arial" w:hAnsi="Arial" w:hint="default"/>
      </w:rPr>
    </w:lvl>
    <w:lvl w:ilvl="2" w:tplc="86B07C82" w:tentative="1">
      <w:start w:val="1"/>
      <w:numFmt w:val="bullet"/>
      <w:lvlText w:val="•"/>
      <w:lvlJc w:val="left"/>
      <w:pPr>
        <w:tabs>
          <w:tab w:val="num" w:pos="2160"/>
        </w:tabs>
        <w:ind w:left="2160" w:hanging="360"/>
      </w:pPr>
      <w:rPr>
        <w:rFonts w:ascii="Arial" w:hAnsi="Arial" w:hint="default"/>
      </w:rPr>
    </w:lvl>
    <w:lvl w:ilvl="3" w:tplc="0434B9FA" w:tentative="1">
      <w:start w:val="1"/>
      <w:numFmt w:val="bullet"/>
      <w:lvlText w:val="•"/>
      <w:lvlJc w:val="left"/>
      <w:pPr>
        <w:tabs>
          <w:tab w:val="num" w:pos="2880"/>
        </w:tabs>
        <w:ind w:left="2880" w:hanging="360"/>
      </w:pPr>
      <w:rPr>
        <w:rFonts w:ascii="Arial" w:hAnsi="Arial" w:hint="default"/>
      </w:rPr>
    </w:lvl>
    <w:lvl w:ilvl="4" w:tplc="48100912" w:tentative="1">
      <w:start w:val="1"/>
      <w:numFmt w:val="bullet"/>
      <w:lvlText w:val="•"/>
      <w:lvlJc w:val="left"/>
      <w:pPr>
        <w:tabs>
          <w:tab w:val="num" w:pos="3600"/>
        </w:tabs>
        <w:ind w:left="3600" w:hanging="360"/>
      </w:pPr>
      <w:rPr>
        <w:rFonts w:ascii="Arial" w:hAnsi="Arial" w:hint="default"/>
      </w:rPr>
    </w:lvl>
    <w:lvl w:ilvl="5" w:tplc="65F62AE8" w:tentative="1">
      <w:start w:val="1"/>
      <w:numFmt w:val="bullet"/>
      <w:lvlText w:val="•"/>
      <w:lvlJc w:val="left"/>
      <w:pPr>
        <w:tabs>
          <w:tab w:val="num" w:pos="4320"/>
        </w:tabs>
        <w:ind w:left="4320" w:hanging="360"/>
      </w:pPr>
      <w:rPr>
        <w:rFonts w:ascii="Arial" w:hAnsi="Arial" w:hint="default"/>
      </w:rPr>
    </w:lvl>
    <w:lvl w:ilvl="6" w:tplc="74A0BB8E" w:tentative="1">
      <w:start w:val="1"/>
      <w:numFmt w:val="bullet"/>
      <w:lvlText w:val="•"/>
      <w:lvlJc w:val="left"/>
      <w:pPr>
        <w:tabs>
          <w:tab w:val="num" w:pos="5040"/>
        </w:tabs>
        <w:ind w:left="5040" w:hanging="360"/>
      </w:pPr>
      <w:rPr>
        <w:rFonts w:ascii="Arial" w:hAnsi="Arial" w:hint="default"/>
      </w:rPr>
    </w:lvl>
    <w:lvl w:ilvl="7" w:tplc="F0DE2770" w:tentative="1">
      <w:start w:val="1"/>
      <w:numFmt w:val="bullet"/>
      <w:lvlText w:val="•"/>
      <w:lvlJc w:val="left"/>
      <w:pPr>
        <w:tabs>
          <w:tab w:val="num" w:pos="5760"/>
        </w:tabs>
        <w:ind w:left="5760" w:hanging="360"/>
      </w:pPr>
      <w:rPr>
        <w:rFonts w:ascii="Arial" w:hAnsi="Arial" w:hint="default"/>
      </w:rPr>
    </w:lvl>
    <w:lvl w:ilvl="8" w:tplc="4232F58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A3505D"/>
    <w:multiLevelType w:val="hybridMultilevel"/>
    <w:tmpl w:val="B0C28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81089"/>
    <w:multiLevelType w:val="hybridMultilevel"/>
    <w:tmpl w:val="00BA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66195"/>
    <w:multiLevelType w:val="hybridMultilevel"/>
    <w:tmpl w:val="CC5EB318"/>
    <w:lvl w:ilvl="0" w:tplc="22847316">
      <w:start w:val="1"/>
      <w:numFmt w:val="bullet"/>
      <w:lvlText w:val="•"/>
      <w:lvlJc w:val="left"/>
      <w:pPr>
        <w:tabs>
          <w:tab w:val="num" w:pos="720"/>
        </w:tabs>
        <w:ind w:left="720" w:hanging="360"/>
      </w:pPr>
      <w:rPr>
        <w:rFonts w:ascii="Arial" w:hAnsi="Arial" w:hint="default"/>
      </w:rPr>
    </w:lvl>
    <w:lvl w:ilvl="1" w:tplc="9864C182">
      <w:start w:val="4583"/>
      <w:numFmt w:val="bullet"/>
      <w:lvlText w:val="•"/>
      <w:lvlJc w:val="left"/>
      <w:pPr>
        <w:tabs>
          <w:tab w:val="num" w:pos="1440"/>
        </w:tabs>
        <w:ind w:left="1440" w:hanging="360"/>
      </w:pPr>
      <w:rPr>
        <w:rFonts w:ascii="Arial" w:hAnsi="Arial" w:hint="default"/>
      </w:rPr>
    </w:lvl>
    <w:lvl w:ilvl="2" w:tplc="4EF0BECE" w:tentative="1">
      <w:start w:val="1"/>
      <w:numFmt w:val="bullet"/>
      <w:lvlText w:val="•"/>
      <w:lvlJc w:val="left"/>
      <w:pPr>
        <w:tabs>
          <w:tab w:val="num" w:pos="2160"/>
        </w:tabs>
        <w:ind w:left="2160" w:hanging="360"/>
      </w:pPr>
      <w:rPr>
        <w:rFonts w:ascii="Arial" w:hAnsi="Arial" w:hint="default"/>
      </w:rPr>
    </w:lvl>
    <w:lvl w:ilvl="3" w:tplc="92ECECF4" w:tentative="1">
      <w:start w:val="1"/>
      <w:numFmt w:val="bullet"/>
      <w:lvlText w:val="•"/>
      <w:lvlJc w:val="left"/>
      <w:pPr>
        <w:tabs>
          <w:tab w:val="num" w:pos="2880"/>
        </w:tabs>
        <w:ind w:left="2880" w:hanging="360"/>
      </w:pPr>
      <w:rPr>
        <w:rFonts w:ascii="Arial" w:hAnsi="Arial" w:hint="default"/>
      </w:rPr>
    </w:lvl>
    <w:lvl w:ilvl="4" w:tplc="EBFCD2AE" w:tentative="1">
      <w:start w:val="1"/>
      <w:numFmt w:val="bullet"/>
      <w:lvlText w:val="•"/>
      <w:lvlJc w:val="left"/>
      <w:pPr>
        <w:tabs>
          <w:tab w:val="num" w:pos="3600"/>
        </w:tabs>
        <w:ind w:left="3600" w:hanging="360"/>
      </w:pPr>
      <w:rPr>
        <w:rFonts w:ascii="Arial" w:hAnsi="Arial" w:hint="default"/>
      </w:rPr>
    </w:lvl>
    <w:lvl w:ilvl="5" w:tplc="E87C91BE" w:tentative="1">
      <w:start w:val="1"/>
      <w:numFmt w:val="bullet"/>
      <w:lvlText w:val="•"/>
      <w:lvlJc w:val="left"/>
      <w:pPr>
        <w:tabs>
          <w:tab w:val="num" w:pos="4320"/>
        </w:tabs>
        <w:ind w:left="4320" w:hanging="360"/>
      </w:pPr>
      <w:rPr>
        <w:rFonts w:ascii="Arial" w:hAnsi="Arial" w:hint="default"/>
      </w:rPr>
    </w:lvl>
    <w:lvl w:ilvl="6" w:tplc="CC70759A" w:tentative="1">
      <w:start w:val="1"/>
      <w:numFmt w:val="bullet"/>
      <w:lvlText w:val="•"/>
      <w:lvlJc w:val="left"/>
      <w:pPr>
        <w:tabs>
          <w:tab w:val="num" w:pos="5040"/>
        </w:tabs>
        <w:ind w:left="5040" w:hanging="360"/>
      </w:pPr>
      <w:rPr>
        <w:rFonts w:ascii="Arial" w:hAnsi="Arial" w:hint="default"/>
      </w:rPr>
    </w:lvl>
    <w:lvl w:ilvl="7" w:tplc="FDC62180" w:tentative="1">
      <w:start w:val="1"/>
      <w:numFmt w:val="bullet"/>
      <w:lvlText w:val="•"/>
      <w:lvlJc w:val="left"/>
      <w:pPr>
        <w:tabs>
          <w:tab w:val="num" w:pos="5760"/>
        </w:tabs>
        <w:ind w:left="5760" w:hanging="360"/>
      </w:pPr>
      <w:rPr>
        <w:rFonts w:ascii="Arial" w:hAnsi="Arial" w:hint="default"/>
      </w:rPr>
    </w:lvl>
    <w:lvl w:ilvl="8" w:tplc="8A44C2D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F683CA7"/>
    <w:multiLevelType w:val="hybridMultilevel"/>
    <w:tmpl w:val="37AA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E58DF"/>
    <w:multiLevelType w:val="hybridMultilevel"/>
    <w:tmpl w:val="4A1C6FFE"/>
    <w:lvl w:ilvl="0" w:tplc="EFFC3AAA">
      <w:start w:val="1"/>
      <w:numFmt w:val="bullet"/>
      <w:lvlText w:val="•"/>
      <w:lvlJc w:val="left"/>
      <w:pPr>
        <w:tabs>
          <w:tab w:val="num" w:pos="720"/>
        </w:tabs>
        <w:ind w:left="720" w:hanging="360"/>
      </w:pPr>
      <w:rPr>
        <w:rFonts w:ascii="Arial" w:hAnsi="Arial" w:hint="default"/>
      </w:rPr>
    </w:lvl>
    <w:lvl w:ilvl="1" w:tplc="FBB035EC" w:tentative="1">
      <w:start w:val="1"/>
      <w:numFmt w:val="bullet"/>
      <w:lvlText w:val="•"/>
      <w:lvlJc w:val="left"/>
      <w:pPr>
        <w:tabs>
          <w:tab w:val="num" w:pos="1440"/>
        </w:tabs>
        <w:ind w:left="1440" w:hanging="360"/>
      </w:pPr>
      <w:rPr>
        <w:rFonts w:ascii="Arial" w:hAnsi="Arial" w:hint="default"/>
      </w:rPr>
    </w:lvl>
    <w:lvl w:ilvl="2" w:tplc="0ED8D302" w:tentative="1">
      <w:start w:val="1"/>
      <w:numFmt w:val="bullet"/>
      <w:lvlText w:val="•"/>
      <w:lvlJc w:val="left"/>
      <w:pPr>
        <w:tabs>
          <w:tab w:val="num" w:pos="2160"/>
        </w:tabs>
        <w:ind w:left="2160" w:hanging="360"/>
      </w:pPr>
      <w:rPr>
        <w:rFonts w:ascii="Arial" w:hAnsi="Arial" w:hint="default"/>
      </w:rPr>
    </w:lvl>
    <w:lvl w:ilvl="3" w:tplc="84F428EA" w:tentative="1">
      <w:start w:val="1"/>
      <w:numFmt w:val="bullet"/>
      <w:lvlText w:val="•"/>
      <w:lvlJc w:val="left"/>
      <w:pPr>
        <w:tabs>
          <w:tab w:val="num" w:pos="2880"/>
        </w:tabs>
        <w:ind w:left="2880" w:hanging="360"/>
      </w:pPr>
      <w:rPr>
        <w:rFonts w:ascii="Arial" w:hAnsi="Arial" w:hint="default"/>
      </w:rPr>
    </w:lvl>
    <w:lvl w:ilvl="4" w:tplc="123E3058" w:tentative="1">
      <w:start w:val="1"/>
      <w:numFmt w:val="bullet"/>
      <w:lvlText w:val="•"/>
      <w:lvlJc w:val="left"/>
      <w:pPr>
        <w:tabs>
          <w:tab w:val="num" w:pos="3600"/>
        </w:tabs>
        <w:ind w:left="3600" w:hanging="360"/>
      </w:pPr>
      <w:rPr>
        <w:rFonts w:ascii="Arial" w:hAnsi="Arial" w:hint="default"/>
      </w:rPr>
    </w:lvl>
    <w:lvl w:ilvl="5" w:tplc="126AB7B4" w:tentative="1">
      <w:start w:val="1"/>
      <w:numFmt w:val="bullet"/>
      <w:lvlText w:val="•"/>
      <w:lvlJc w:val="left"/>
      <w:pPr>
        <w:tabs>
          <w:tab w:val="num" w:pos="4320"/>
        </w:tabs>
        <w:ind w:left="4320" w:hanging="360"/>
      </w:pPr>
      <w:rPr>
        <w:rFonts w:ascii="Arial" w:hAnsi="Arial" w:hint="default"/>
      </w:rPr>
    </w:lvl>
    <w:lvl w:ilvl="6" w:tplc="E7E6DF28" w:tentative="1">
      <w:start w:val="1"/>
      <w:numFmt w:val="bullet"/>
      <w:lvlText w:val="•"/>
      <w:lvlJc w:val="left"/>
      <w:pPr>
        <w:tabs>
          <w:tab w:val="num" w:pos="5040"/>
        </w:tabs>
        <w:ind w:left="5040" w:hanging="360"/>
      </w:pPr>
      <w:rPr>
        <w:rFonts w:ascii="Arial" w:hAnsi="Arial" w:hint="default"/>
      </w:rPr>
    </w:lvl>
    <w:lvl w:ilvl="7" w:tplc="BA54A4EE" w:tentative="1">
      <w:start w:val="1"/>
      <w:numFmt w:val="bullet"/>
      <w:lvlText w:val="•"/>
      <w:lvlJc w:val="left"/>
      <w:pPr>
        <w:tabs>
          <w:tab w:val="num" w:pos="5760"/>
        </w:tabs>
        <w:ind w:left="5760" w:hanging="360"/>
      </w:pPr>
      <w:rPr>
        <w:rFonts w:ascii="Arial" w:hAnsi="Arial" w:hint="default"/>
      </w:rPr>
    </w:lvl>
    <w:lvl w:ilvl="8" w:tplc="DC901B5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E060956"/>
    <w:multiLevelType w:val="hybridMultilevel"/>
    <w:tmpl w:val="C87CF2C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4F1F1865"/>
    <w:multiLevelType w:val="hybridMultilevel"/>
    <w:tmpl w:val="2DAC8F26"/>
    <w:lvl w:ilvl="0" w:tplc="1918FD2A">
      <w:start w:val="1"/>
      <w:numFmt w:val="bullet"/>
      <w:lvlText w:val="•"/>
      <w:lvlJc w:val="left"/>
      <w:pPr>
        <w:tabs>
          <w:tab w:val="num" w:pos="720"/>
        </w:tabs>
        <w:ind w:left="720" w:hanging="360"/>
      </w:pPr>
      <w:rPr>
        <w:rFonts w:ascii="Arial" w:hAnsi="Arial" w:hint="default"/>
      </w:rPr>
    </w:lvl>
    <w:lvl w:ilvl="1" w:tplc="B6B0EEE0">
      <w:start w:val="4635"/>
      <w:numFmt w:val="bullet"/>
      <w:lvlText w:val="•"/>
      <w:lvlJc w:val="left"/>
      <w:pPr>
        <w:tabs>
          <w:tab w:val="num" w:pos="1440"/>
        </w:tabs>
        <w:ind w:left="1440" w:hanging="360"/>
      </w:pPr>
      <w:rPr>
        <w:rFonts w:ascii="Arial" w:hAnsi="Arial" w:hint="default"/>
      </w:rPr>
    </w:lvl>
    <w:lvl w:ilvl="2" w:tplc="85A21C1E" w:tentative="1">
      <w:start w:val="1"/>
      <w:numFmt w:val="bullet"/>
      <w:lvlText w:val="•"/>
      <w:lvlJc w:val="left"/>
      <w:pPr>
        <w:tabs>
          <w:tab w:val="num" w:pos="2160"/>
        </w:tabs>
        <w:ind w:left="2160" w:hanging="360"/>
      </w:pPr>
      <w:rPr>
        <w:rFonts w:ascii="Arial" w:hAnsi="Arial" w:hint="default"/>
      </w:rPr>
    </w:lvl>
    <w:lvl w:ilvl="3" w:tplc="15BAF762" w:tentative="1">
      <w:start w:val="1"/>
      <w:numFmt w:val="bullet"/>
      <w:lvlText w:val="•"/>
      <w:lvlJc w:val="left"/>
      <w:pPr>
        <w:tabs>
          <w:tab w:val="num" w:pos="2880"/>
        </w:tabs>
        <w:ind w:left="2880" w:hanging="360"/>
      </w:pPr>
      <w:rPr>
        <w:rFonts w:ascii="Arial" w:hAnsi="Arial" w:hint="default"/>
      </w:rPr>
    </w:lvl>
    <w:lvl w:ilvl="4" w:tplc="F0766D24" w:tentative="1">
      <w:start w:val="1"/>
      <w:numFmt w:val="bullet"/>
      <w:lvlText w:val="•"/>
      <w:lvlJc w:val="left"/>
      <w:pPr>
        <w:tabs>
          <w:tab w:val="num" w:pos="3600"/>
        </w:tabs>
        <w:ind w:left="3600" w:hanging="360"/>
      </w:pPr>
      <w:rPr>
        <w:rFonts w:ascii="Arial" w:hAnsi="Arial" w:hint="default"/>
      </w:rPr>
    </w:lvl>
    <w:lvl w:ilvl="5" w:tplc="994C8F02" w:tentative="1">
      <w:start w:val="1"/>
      <w:numFmt w:val="bullet"/>
      <w:lvlText w:val="•"/>
      <w:lvlJc w:val="left"/>
      <w:pPr>
        <w:tabs>
          <w:tab w:val="num" w:pos="4320"/>
        </w:tabs>
        <w:ind w:left="4320" w:hanging="360"/>
      </w:pPr>
      <w:rPr>
        <w:rFonts w:ascii="Arial" w:hAnsi="Arial" w:hint="default"/>
      </w:rPr>
    </w:lvl>
    <w:lvl w:ilvl="6" w:tplc="BA0A9AFA" w:tentative="1">
      <w:start w:val="1"/>
      <w:numFmt w:val="bullet"/>
      <w:lvlText w:val="•"/>
      <w:lvlJc w:val="left"/>
      <w:pPr>
        <w:tabs>
          <w:tab w:val="num" w:pos="5040"/>
        </w:tabs>
        <w:ind w:left="5040" w:hanging="360"/>
      </w:pPr>
      <w:rPr>
        <w:rFonts w:ascii="Arial" w:hAnsi="Arial" w:hint="default"/>
      </w:rPr>
    </w:lvl>
    <w:lvl w:ilvl="7" w:tplc="DE389396" w:tentative="1">
      <w:start w:val="1"/>
      <w:numFmt w:val="bullet"/>
      <w:lvlText w:val="•"/>
      <w:lvlJc w:val="left"/>
      <w:pPr>
        <w:tabs>
          <w:tab w:val="num" w:pos="5760"/>
        </w:tabs>
        <w:ind w:left="5760" w:hanging="360"/>
      </w:pPr>
      <w:rPr>
        <w:rFonts w:ascii="Arial" w:hAnsi="Arial" w:hint="default"/>
      </w:rPr>
    </w:lvl>
    <w:lvl w:ilvl="8" w:tplc="75D6F50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2C35800"/>
    <w:multiLevelType w:val="hybridMultilevel"/>
    <w:tmpl w:val="C91EFE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523345"/>
    <w:multiLevelType w:val="hybridMultilevel"/>
    <w:tmpl w:val="1BFCF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2A7BF8"/>
    <w:multiLevelType w:val="hybridMultilevel"/>
    <w:tmpl w:val="4DFC3BFC"/>
    <w:lvl w:ilvl="0" w:tplc="299482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E4607E"/>
    <w:multiLevelType w:val="hybridMultilevel"/>
    <w:tmpl w:val="0016B4C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C84304"/>
    <w:multiLevelType w:val="hybridMultilevel"/>
    <w:tmpl w:val="7D303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E20553"/>
    <w:multiLevelType w:val="hybridMultilevel"/>
    <w:tmpl w:val="D2A23FFA"/>
    <w:lvl w:ilvl="0" w:tplc="B44AEC88">
      <w:start w:val="1"/>
      <w:numFmt w:val="decimal"/>
      <w:lvlText w:val="%1."/>
      <w:lvlJc w:val="left"/>
      <w:pPr>
        <w:tabs>
          <w:tab w:val="num" w:pos="720"/>
        </w:tabs>
        <w:ind w:left="720" w:hanging="360"/>
      </w:pPr>
    </w:lvl>
    <w:lvl w:ilvl="1" w:tplc="B48E2FD0" w:tentative="1">
      <w:start w:val="1"/>
      <w:numFmt w:val="decimal"/>
      <w:lvlText w:val="%2."/>
      <w:lvlJc w:val="left"/>
      <w:pPr>
        <w:tabs>
          <w:tab w:val="num" w:pos="1440"/>
        </w:tabs>
        <w:ind w:left="1440" w:hanging="360"/>
      </w:pPr>
    </w:lvl>
    <w:lvl w:ilvl="2" w:tplc="B16868EA" w:tentative="1">
      <w:start w:val="1"/>
      <w:numFmt w:val="decimal"/>
      <w:lvlText w:val="%3."/>
      <w:lvlJc w:val="left"/>
      <w:pPr>
        <w:tabs>
          <w:tab w:val="num" w:pos="2160"/>
        </w:tabs>
        <w:ind w:left="2160" w:hanging="360"/>
      </w:pPr>
    </w:lvl>
    <w:lvl w:ilvl="3" w:tplc="3B220C32" w:tentative="1">
      <w:start w:val="1"/>
      <w:numFmt w:val="decimal"/>
      <w:lvlText w:val="%4."/>
      <w:lvlJc w:val="left"/>
      <w:pPr>
        <w:tabs>
          <w:tab w:val="num" w:pos="2880"/>
        </w:tabs>
        <w:ind w:left="2880" w:hanging="360"/>
      </w:pPr>
    </w:lvl>
    <w:lvl w:ilvl="4" w:tplc="5BAA00D4" w:tentative="1">
      <w:start w:val="1"/>
      <w:numFmt w:val="decimal"/>
      <w:lvlText w:val="%5."/>
      <w:lvlJc w:val="left"/>
      <w:pPr>
        <w:tabs>
          <w:tab w:val="num" w:pos="3600"/>
        </w:tabs>
        <w:ind w:left="3600" w:hanging="360"/>
      </w:pPr>
    </w:lvl>
    <w:lvl w:ilvl="5" w:tplc="1B921282" w:tentative="1">
      <w:start w:val="1"/>
      <w:numFmt w:val="decimal"/>
      <w:lvlText w:val="%6."/>
      <w:lvlJc w:val="left"/>
      <w:pPr>
        <w:tabs>
          <w:tab w:val="num" w:pos="4320"/>
        </w:tabs>
        <w:ind w:left="4320" w:hanging="360"/>
      </w:pPr>
    </w:lvl>
    <w:lvl w:ilvl="6" w:tplc="5E4028A6" w:tentative="1">
      <w:start w:val="1"/>
      <w:numFmt w:val="decimal"/>
      <w:lvlText w:val="%7."/>
      <w:lvlJc w:val="left"/>
      <w:pPr>
        <w:tabs>
          <w:tab w:val="num" w:pos="5040"/>
        </w:tabs>
        <w:ind w:left="5040" w:hanging="360"/>
      </w:pPr>
    </w:lvl>
    <w:lvl w:ilvl="7" w:tplc="E39EEA96" w:tentative="1">
      <w:start w:val="1"/>
      <w:numFmt w:val="decimal"/>
      <w:lvlText w:val="%8."/>
      <w:lvlJc w:val="left"/>
      <w:pPr>
        <w:tabs>
          <w:tab w:val="num" w:pos="5760"/>
        </w:tabs>
        <w:ind w:left="5760" w:hanging="360"/>
      </w:pPr>
    </w:lvl>
    <w:lvl w:ilvl="8" w:tplc="36469906" w:tentative="1">
      <w:start w:val="1"/>
      <w:numFmt w:val="decimal"/>
      <w:lvlText w:val="%9."/>
      <w:lvlJc w:val="left"/>
      <w:pPr>
        <w:tabs>
          <w:tab w:val="num" w:pos="6480"/>
        </w:tabs>
        <w:ind w:left="6480" w:hanging="360"/>
      </w:pPr>
    </w:lvl>
  </w:abstractNum>
  <w:abstractNum w:abstractNumId="18" w15:restartNumberingAfterBreak="0">
    <w:nsid w:val="76212E65"/>
    <w:multiLevelType w:val="hybridMultilevel"/>
    <w:tmpl w:val="2DB4978C"/>
    <w:lvl w:ilvl="0" w:tplc="5AD86AA6">
      <w:start w:val="1"/>
      <w:numFmt w:val="bullet"/>
      <w:lvlText w:val="•"/>
      <w:lvlJc w:val="left"/>
      <w:pPr>
        <w:tabs>
          <w:tab w:val="num" w:pos="720"/>
        </w:tabs>
        <w:ind w:left="720" w:hanging="360"/>
      </w:pPr>
      <w:rPr>
        <w:rFonts w:ascii="Arial" w:hAnsi="Arial" w:hint="default"/>
      </w:rPr>
    </w:lvl>
    <w:lvl w:ilvl="1" w:tplc="F2A8B1B8" w:tentative="1">
      <w:start w:val="1"/>
      <w:numFmt w:val="bullet"/>
      <w:lvlText w:val="•"/>
      <w:lvlJc w:val="left"/>
      <w:pPr>
        <w:tabs>
          <w:tab w:val="num" w:pos="1440"/>
        </w:tabs>
        <w:ind w:left="1440" w:hanging="360"/>
      </w:pPr>
      <w:rPr>
        <w:rFonts w:ascii="Arial" w:hAnsi="Arial" w:hint="default"/>
      </w:rPr>
    </w:lvl>
    <w:lvl w:ilvl="2" w:tplc="6E563A54" w:tentative="1">
      <w:start w:val="1"/>
      <w:numFmt w:val="bullet"/>
      <w:lvlText w:val="•"/>
      <w:lvlJc w:val="left"/>
      <w:pPr>
        <w:tabs>
          <w:tab w:val="num" w:pos="2160"/>
        </w:tabs>
        <w:ind w:left="2160" w:hanging="360"/>
      </w:pPr>
      <w:rPr>
        <w:rFonts w:ascii="Arial" w:hAnsi="Arial" w:hint="default"/>
      </w:rPr>
    </w:lvl>
    <w:lvl w:ilvl="3" w:tplc="16FE6E10" w:tentative="1">
      <w:start w:val="1"/>
      <w:numFmt w:val="bullet"/>
      <w:lvlText w:val="•"/>
      <w:lvlJc w:val="left"/>
      <w:pPr>
        <w:tabs>
          <w:tab w:val="num" w:pos="2880"/>
        </w:tabs>
        <w:ind w:left="2880" w:hanging="360"/>
      </w:pPr>
      <w:rPr>
        <w:rFonts w:ascii="Arial" w:hAnsi="Arial" w:hint="default"/>
      </w:rPr>
    </w:lvl>
    <w:lvl w:ilvl="4" w:tplc="C33A0864" w:tentative="1">
      <w:start w:val="1"/>
      <w:numFmt w:val="bullet"/>
      <w:lvlText w:val="•"/>
      <w:lvlJc w:val="left"/>
      <w:pPr>
        <w:tabs>
          <w:tab w:val="num" w:pos="3600"/>
        </w:tabs>
        <w:ind w:left="3600" w:hanging="360"/>
      </w:pPr>
      <w:rPr>
        <w:rFonts w:ascii="Arial" w:hAnsi="Arial" w:hint="default"/>
      </w:rPr>
    </w:lvl>
    <w:lvl w:ilvl="5" w:tplc="6422F8B2" w:tentative="1">
      <w:start w:val="1"/>
      <w:numFmt w:val="bullet"/>
      <w:lvlText w:val="•"/>
      <w:lvlJc w:val="left"/>
      <w:pPr>
        <w:tabs>
          <w:tab w:val="num" w:pos="4320"/>
        </w:tabs>
        <w:ind w:left="4320" w:hanging="360"/>
      </w:pPr>
      <w:rPr>
        <w:rFonts w:ascii="Arial" w:hAnsi="Arial" w:hint="default"/>
      </w:rPr>
    </w:lvl>
    <w:lvl w:ilvl="6" w:tplc="8B36179A" w:tentative="1">
      <w:start w:val="1"/>
      <w:numFmt w:val="bullet"/>
      <w:lvlText w:val="•"/>
      <w:lvlJc w:val="left"/>
      <w:pPr>
        <w:tabs>
          <w:tab w:val="num" w:pos="5040"/>
        </w:tabs>
        <w:ind w:left="5040" w:hanging="360"/>
      </w:pPr>
      <w:rPr>
        <w:rFonts w:ascii="Arial" w:hAnsi="Arial" w:hint="default"/>
      </w:rPr>
    </w:lvl>
    <w:lvl w:ilvl="7" w:tplc="F1D8A586" w:tentative="1">
      <w:start w:val="1"/>
      <w:numFmt w:val="bullet"/>
      <w:lvlText w:val="•"/>
      <w:lvlJc w:val="left"/>
      <w:pPr>
        <w:tabs>
          <w:tab w:val="num" w:pos="5760"/>
        </w:tabs>
        <w:ind w:left="5760" w:hanging="360"/>
      </w:pPr>
      <w:rPr>
        <w:rFonts w:ascii="Arial" w:hAnsi="Arial" w:hint="default"/>
      </w:rPr>
    </w:lvl>
    <w:lvl w:ilvl="8" w:tplc="9A90EFD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8AA5898"/>
    <w:multiLevelType w:val="hybridMultilevel"/>
    <w:tmpl w:val="1CF2D2BC"/>
    <w:lvl w:ilvl="0" w:tplc="F1DAE75E">
      <w:start w:val="1"/>
      <w:numFmt w:val="bullet"/>
      <w:lvlText w:val="•"/>
      <w:lvlJc w:val="left"/>
      <w:pPr>
        <w:tabs>
          <w:tab w:val="num" w:pos="720"/>
        </w:tabs>
        <w:ind w:left="720" w:hanging="360"/>
      </w:pPr>
      <w:rPr>
        <w:rFonts w:ascii="Arial" w:hAnsi="Arial" w:hint="default"/>
      </w:rPr>
    </w:lvl>
    <w:lvl w:ilvl="1" w:tplc="871A6ED2">
      <w:start w:val="3970"/>
      <w:numFmt w:val="bullet"/>
      <w:lvlText w:val="•"/>
      <w:lvlJc w:val="left"/>
      <w:pPr>
        <w:tabs>
          <w:tab w:val="num" w:pos="1440"/>
        </w:tabs>
        <w:ind w:left="1440" w:hanging="360"/>
      </w:pPr>
      <w:rPr>
        <w:rFonts w:ascii="Arial" w:hAnsi="Arial" w:hint="default"/>
      </w:rPr>
    </w:lvl>
    <w:lvl w:ilvl="2" w:tplc="D196E3AA" w:tentative="1">
      <w:start w:val="1"/>
      <w:numFmt w:val="bullet"/>
      <w:lvlText w:val="•"/>
      <w:lvlJc w:val="left"/>
      <w:pPr>
        <w:tabs>
          <w:tab w:val="num" w:pos="2160"/>
        </w:tabs>
        <w:ind w:left="2160" w:hanging="360"/>
      </w:pPr>
      <w:rPr>
        <w:rFonts w:ascii="Arial" w:hAnsi="Arial" w:hint="default"/>
      </w:rPr>
    </w:lvl>
    <w:lvl w:ilvl="3" w:tplc="88F23E68" w:tentative="1">
      <w:start w:val="1"/>
      <w:numFmt w:val="bullet"/>
      <w:lvlText w:val="•"/>
      <w:lvlJc w:val="left"/>
      <w:pPr>
        <w:tabs>
          <w:tab w:val="num" w:pos="2880"/>
        </w:tabs>
        <w:ind w:left="2880" w:hanging="360"/>
      </w:pPr>
      <w:rPr>
        <w:rFonts w:ascii="Arial" w:hAnsi="Arial" w:hint="default"/>
      </w:rPr>
    </w:lvl>
    <w:lvl w:ilvl="4" w:tplc="7B2CCEA8" w:tentative="1">
      <w:start w:val="1"/>
      <w:numFmt w:val="bullet"/>
      <w:lvlText w:val="•"/>
      <w:lvlJc w:val="left"/>
      <w:pPr>
        <w:tabs>
          <w:tab w:val="num" w:pos="3600"/>
        </w:tabs>
        <w:ind w:left="3600" w:hanging="360"/>
      </w:pPr>
      <w:rPr>
        <w:rFonts w:ascii="Arial" w:hAnsi="Arial" w:hint="default"/>
      </w:rPr>
    </w:lvl>
    <w:lvl w:ilvl="5" w:tplc="AD8C86C4" w:tentative="1">
      <w:start w:val="1"/>
      <w:numFmt w:val="bullet"/>
      <w:lvlText w:val="•"/>
      <w:lvlJc w:val="left"/>
      <w:pPr>
        <w:tabs>
          <w:tab w:val="num" w:pos="4320"/>
        </w:tabs>
        <w:ind w:left="4320" w:hanging="360"/>
      </w:pPr>
      <w:rPr>
        <w:rFonts w:ascii="Arial" w:hAnsi="Arial" w:hint="default"/>
      </w:rPr>
    </w:lvl>
    <w:lvl w:ilvl="6" w:tplc="998897BE" w:tentative="1">
      <w:start w:val="1"/>
      <w:numFmt w:val="bullet"/>
      <w:lvlText w:val="•"/>
      <w:lvlJc w:val="left"/>
      <w:pPr>
        <w:tabs>
          <w:tab w:val="num" w:pos="5040"/>
        </w:tabs>
        <w:ind w:left="5040" w:hanging="360"/>
      </w:pPr>
      <w:rPr>
        <w:rFonts w:ascii="Arial" w:hAnsi="Arial" w:hint="default"/>
      </w:rPr>
    </w:lvl>
    <w:lvl w:ilvl="7" w:tplc="FE5CA45E" w:tentative="1">
      <w:start w:val="1"/>
      <w:numFmt w:val="bullet"/>
      <w:lvlText w:val="•"/>
      <w:lvlJc w:val="left"/>
      <w:pPr>
        <w:tabs>
          <w:tab w:val="num" w:pos="5760"/>
        </w:tabs>
        <w:ind w:left="5760" w:hanging="360"/>
      </w:pPr>
      <w:rPr>
        <w:rFonts w:ascii="Arial" w:hAnsi="Arial" w:hint="default"/>
      </w:rPr>
    </w:lvl>
    <w:lvl w:ilvl="8" w:tplc="2CA8770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9D65066"/>
    <w:multiLevelType w:val="hybridMultilevel"/>
    <w:tmpl w:val="69C4E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583F93"/>
    <w:multiLevelType w:val="hybridMultilevel"/>
    <w:tmpl w:val="4F6404EA"/>
    <w:lvl w:ilvl="0" w:tplc="C136E4A4">
      <w:start w:val="1"/>
      <w:numFmt w:val="bullet"/>
      <w:lvlText w:val=""/>
      <w:lvlJc w:val="left"/>
      <w:pPr>
        <w:tabs>
          <w:tab w:val="num" w:pos="720"/>
        </w:tabs>
        <w:ind w:left="720" w:hanging="360"/>
      </w:pPr>
      <w:rPr>
        <w:rFonts w:ascii="Wingdings" w:hAnsi="Wingdings" w:hint="default"/>
      </w:rPr>
    </w:lvl>
    <w:lvl w:ilvl="1" w:tplc="2CF86D2E" w:tentative="1">
      <w:start w:val="1"/>
      <w:numFmt w:val="bullet"/>
      <w:lvlText w:val=""/>
      <w:lvlJc w:val="left"/>
      <w:pPr>
        <w:tabs>
          <w:tab w:val="num" w:pos="1440"/>
        </w:tabs>
        <w:ind w:left="1440" w:hanging="360"/>
      </w:pPr>
      <w:rPr>
        <w:rFonts w:ascii="Wingdings" w:hAnsi="Wingdings" w:hint="default"/>
      </w:rPr>
    </w:lvl>
    <w:lvl w:ilvl="2" w:tplc="0A2A6510" w:tentative="1">
      <w:start w:val="1"/>
      <w:numFmt w:val="bullet"/>
      <w:lvlText w:val=""/>
      <w:lvlJc w:val="left"/>
      <w:pPr>
        <w:tabs>
          <w:tab w:val="num" w:pos="2160"/>
        </w:tabs>
        <w:ind w:left="2160" w:hanging="360"/>
      </w:pPr>
      <w:rPr>
        <w:rFonts w:ascii="Wingdings" w:hAnsi="Wingdings" w:hint="default"/>
      </w:rPr>
    </w:lvl>
    <w:lvl w:ilvl="3" w:tplc="8CDC47AE" w:tentative="1">
      <w:start w:val="1"/>
      <w:numFmt w:val="bullet"/>
      <w:lvlText w:val=""/>
      <w:lvlJc w:val="left"/>
      <w:pPr>
        <w:tabs>
          <w:tab w:val="num" w:pos="2880"/>
        </w:tabs>
        <w:ind w:left="2880" w:hanging="360"/>
      </w:pPr>
      <w:rPr>
        <w:rFonts w:ascii="Wingdings" w:hAnsi="Wingdings" w:hint="default"/>
      </w:rPr>
    </w:lvl>
    <w:lvl w:ilvl="4" w:tplc="53ECEAEC" w:tentative="1">
      <w:start w:val="1"/>
      <w:numFmt w:val="bullet"/>
      <w:lvlText w:val=""/>
      <w:lvlJc w:val="left"/>
      <w:pPr>
        <w:tabs>
          <w:tab w:val="num" w:pos="3600"/>
        </w:tabs>
        <w:ind w:left="3600" w:hanging="360"/>
      </w:pPr>
      <w:rPr>
        <w:rFonts w:ascii="Wingdings" w:hAnsi="Wingdings" w:hint="default"/>
      </w:rPr>
    </w:lvl>
    <w:lvl w:ilvl="5" w:tplc="EA647E0A" w:tentative="1">
      <w:start w:val="1"/>
      <w:numFmt w:val="bullet"/>
      <w:lvlText w:val=""/>
      <w:lvlJc w:val="left"/>
      <w:pPr>
        <w:tabs>
          <w:tab w:val="num" w:pos="4320"/>
        </w:tabs>
        <w:ind w:left="4320" w:hanging="360"/>
      </w:pPr>
      <w:rPr>
        <w:rFonts w:ascii="Wingdings" w:hAnsi="Wingdings" w:hint="default"/>
      </w:rPr>
    </w:lvl>
    <w:lvl w:ilvl="6" w:tplc="BF98C0E0" w:tentative="1">
      <w:start w:val="1"/>
      <w:numFmt w:val="bullet"/>
      <w:lvlText w:val=""/>
      <w:lvlJc w:val="left"/>
      <w:pPr>
        <w:tabs>
          <w:tab w:val="num" w:pos="5040"/>
        </w:tabs>
        <w:ind w:left="5040" w:hanging="360"/>
      </w:pPr>
      <w:rPr>
        <w:rFonts w:ascii="Wingdings" w:hAnsi="Wingdings" w:hint="default"/>
      </w:rPr>
    </w:lvl>
    <w:lvl w:ilvl="7" w:tplc="F65CB712" w:tentative="1">
      <w:start w:val="1"/>
      <w:numFmt w:val="bullet"/>
      <w:lvlText w:val=""/>
      <w:lvlJc w:val="left"/>
      <w:pPr>
        <w:tabs>
          <w:tab w:val="num" w:pos="5760"/>
        </w:tabs>
        <w:ind w:left="5760" w:hanging="360"/>
      </w:pPr>
      <w:rPr>
        <w:rFonts w:ascii="Wingdings" w:hAnsi="Wingdings" w:hint="default"/>
      </w:rPr>
    </w:lvl>
    <w:lvl w:ilvl="8" w:tplc="C720B77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9"/>
  </w:num>
  <w:num w:numId="3">
    <w:abstractNumId w:val="18"/>
  </w:num>
  <w:num w:numId="4">
    <w:abstractNumId w:val="17"/>
  </w:num>
  <w:num w:numId="5">
    <w:abstractNumId w:val="6"/>
  </w:num>
  <w:num w:numId="6">
    <w:abstractNumId w:val="7"/>
  </w:num>
  <w:num w:numId="7">
    <w:abstractNumId w:val="11"/>
  </w:num>
  <w:num w:numId="8">
    <w:abstractNumId w:val="9"/>
  </w:num>
  <w:num w:numId="9">
    <w:abstractNumId w:val="13"/>
  </w:num>
  <w:num w:numId="10">
    <w:abstractNumId w:val="8"/>
  </w:num>
  <w:num w:numId="11">
    <w:abstractNumId w:val="10"/>
  </w:num>
  <w:num w:numId="12">
    <w:abstractNumId w:val="20"/>
  </w:num>
  <w:num w:numId="13">
    <w:abstractNumId w:val="0"/>
  </w:num>
  <w:num w:numId="14">
    <w:abstractNumId w:val="21"/>
  </w:num>
  <w:num w:numId="15">
    <w:abstractNumId w:val="16"/>
  </w:num>
  <w:num w:numId="16">
    <w:abstractNumId w:val="5"/>
  </w:num>
  <w:num w:numId="17">
    <w:abstractNumId w:val="14"/>
  </w:num>
  <w:num w:numId="18">
    <w:abstractNumId w:val="3"/>
  </w:num>
  <w:num w:numId="19">
    <w:abstractNumId w:val="15"/>
  </w:num>
  <w:num w:numId="20">
    <w:abstractNumId w:val="12"/>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0D5"/>
    <w:rsid w:val="00001561"/>
    <w:rsid w:val="00003492"/>
    <w:rsid w:val="00004029"/>
    <w:rsid w:val="000050DC"/>
    <w:rsid w:val="000062EE"/>
    <w:rsid w:val="00006463"/>
    <w:rsid w:val="000069F7"/>
    <w:rsid w:val="00010888"/>
    <w:rsid w:val="00011E3D"/>
    <w:rsid w:val="00013B23"/>
    <w:rsid w:val="00013D76"/>
    <w:rsid w:val="0001400E"/>
    <w:rsid w:val="000173C5"/>
    <w:rsid w:val="000204D0"/>
    <w:rsid w:val="000212AB"/>
    <w:rsid w:val="000213A5"/>
    <w:rsid w:val="00022CF0"/>
    <w:rsid w:val="000276A9"/>
    <w:rsid w:val="00030A93"/>
    <w:rsid w:val="0003191E"/>
    <w:rsid w:val="00032C83"/>
    <w:rsid w:val="00035206"/>
    <w:rsid w:val="000357D4"/>
    <w:rsid w:val="00036395"/>
    <w:rsid w:val="000370BF"/>
    <w:rsid w:val="00040EC1"/>
    <w:rsid w:val="000425E8"/>
    <w:rsid w:val="0004643F"/>
    <w:rsid w:val="00046F8B"/>
    <w:rsid w:val="00047370"/>
    <w:rsid w:val="000477EE"/>
    <w:rsid w:val="0005181F"/>
    <w:rsid w:val="000574D5"/>
    <w:rsid w:val="000600B1"/>
    <w:rsid w:val="00060CEE"/>
    <w:rsid w:val="00060E90"/>
    <w:rsid w:val="0006128F"/>
    <w:rsid w:val="00062CC8"/>
    <w:rsid w:val="000633E3"/>
    <w:rsid w:val="000636B1"/>
    <w:rsid w:val="00064E04"/>
    <w:rsid w:val="0006560C"/>
    <w:rsid w:val="00066271"/>
    <w:rsid w:val="00073100"/>
    <w:rsid w:val="00073496"/>
    <w:rsid w:val="00075C3F"/>
    <w:rsid w:val="00085F74"/>
    <w:rsid w:val="000904B8"/>
    <w:rsid w:val="000907B1"/>
    <w:rsid w:val="00090A5E"/>
    <w:rsid w:val="00090D01"/>
    <w:rsid w:val="0009128D"/>
    <w:rsid w:val="00092E63"/>
    <w:rsid w:val="0009582E"/>
    <w:rsid w:val="000959D3"/>
    <w:rsid w:val="00095B2B"/>
    <w:rsid w:val="00097615"/>
    <w:rsid w:val="00097F4D"/>
    <w:rsid w:val="000A1080"/>
    <w:rsid w:val="000A152F"/>
    <w:rsid w:val="000A5222"/>
    <w:rsid w:val="000A5DC7"/>
    <w:rsid w:val="000B0B55"/>
    <w:rsid w:val="000B1ECF"/>
    <w:rsid w:val="000B2101"/>
    <w:rsid w:val="000B2113"/>
    <w:rsid w:val="000B3B62"/>
    <w:rsid w:val="000B3ECE"/>
    <w:rsid w:val="000B6318"/>
    <w:rsid w:val="000B7020"/>
    <w:rsid w:val="000C1024"/>
    <w:rsid w:val="000C23AB"/>
    <w:rsid w:val="000C3428"/>
    <w:rsid w:val="000C4474"/>
    <w:rsid w:val="000C4DCB"/>
    <w:rsid w:val="000C6ED4"/>
    <w:rsid w:val="000D0681"/>
    <w:rsid w:val="000D3EEA"/>
    <w:rsid w:val="000D6DE4"/>
    <w:rsid w:val="000E0334"/>
    <w:rsid w:val="000E14F7"/>
    <w:rsid w:val="000E1519"/>
    <w:rsid w:val="000E2135"/>
    <w:rsid w:val="000E3951"/>
    <w:rsid w:val="000E563E"/>
    <w:rsid w:val="000E6AF1"/>
    <w:rsid w:val="000F150C"/>
    <w:rsid w:val="000F2571"/>
    <w:rsid w:val="000F5C5E"/>
    <w:rsid w:val="00101013"/>
    <w:rsid w:val="00103141"/>
    <w:rsid w:val="00104FDA"/>
    <w:rsid w:val="00105838"/>
    <w:rsid w:val="00105F7D"/>
    <w:rsid w:val="001061ED"/>
    <w:rsid w:val="00106497"/>
    <w:rsid w:val="00107D65"/>
    <w:rsid w:val="0011072F"/>
    <w:rsid w:val="0011337B"/>
    <w:rsid w:val="001143DF"/>
    <w:rsid w:val="00114448"/>
    <w:rsid w:val="00114632"/>
    <w:rsid w:val="00114943"/>
    <w:rsid w:val="001200D5"/>
    <w:rsid w:val="001202E5"/>
    <w:rsid w:val="00123C5A"/>
    <w:rsid w:val="001259B4"/>
    <w:rsid w:val="001260AD"/>
    <w:rsid w:val="001272D0"/>
    <w:rsid w:val="0013019A"/>
    <w:rsid w:val="00130843"/>
    <w:rsid w:val="00132283"/>
    <w:rsid w:val="00133DB5"/>
    <w:rsid w:val="001344A7"/>
    <w:rsid w:val="0013511F"/>
    <w:rsid w:val="00136C78"/>
    <w:rsid w:val="00137702"/>
    <w:rsid w:val="00143A27"/>
    <w:rsid w:val="0014502B"/>
    <w:rsid w:val="001500C2"/>
    <w:rsid w:val="0015080F"/>
    <w:rsid w:val="00150F14"/>
    <w:rsid w:val="00152803"/>
    <w:rsid w:val="00153DBE"/>
    <w:rsid w:val="0015530E"/>
    <w:rsid w:val="0015561C"/>
    <w:rsid w:val="00156589"/>
    <w:rsid w:val="00160A10"/>
    <w:rsid w:val="00162D09"/>
    <w:rsid w:val="00163B0A"/>
    <w:rsid w:val="00164C21"/>
    <w:rsid w:val="0016654D"/>
    <w:rsid w:val="00167884"/>
    <w:rsid w:val="00167AFC"/>
    <w:rsid w:val="0017181D"/>
    <w:rsid w:val="0017212F"/>
    <w:rsid w:val="00172BBF"/>
    <w:rsid w:val="00176053"/>
    <w:rsid w:val="00180A0E"/>
    <w:rsid w:val="00183127"/>
    <w:rsid w:val="00183F7F"/>
    <w:rsid w:val="00184B31"/>
    <w:rsid w:val="001863CB"/>
    <w:rsid w:val="0019058E"/>
    <w:rsid w:val="00190982"/>
    <w:rsid w:val="001918FF"/>
    <w:rsid w:val="00191B28"/>
    <w:rsid w:val="0019373F"/>
    <w:rsid w:val="001965E0"/>
    <w:rsid w:val="00197110"/>
    <w:rsid w:val="001A00C2"/>
    <w:rsid w:val="001A12AC"/>
    <w:rsid w:val="001A4E46"/>
    <w:rsid w:val="001A5D5F"/>
    <w:rsid w:val="001A70ED"/>
    <w:rsid w:val="001B0B6A"/>
    <w:rsid w:val="001B1463"/>
    <w:rsid w:val="001B3D7C"/>
    <w:rsid w:val="001B4925"/>
    <w:rsid w:val="001B58C1"/>
    <w:rsid w:val="001B6D37"/>
    <w:rsid w:val="001C0548"/>
    <w:rsid w:val="001C0A6B"/>
    <w:rsid w:val="001C151B"/>
    <w:rsid w:val="001C2EAD"/>
    <w:rsid w:val="001C353C"/>
    <w:rsid w:val="001C3D67"/>
    <w:rsid w:val="001D3F64"/>
    <w:rsid w:val="001E0143"/>
    <w:rsid w:val="001E0154"/>
    <w:rsid w:val="001E2C5F"/>
    <w:rsid w:val="001E3B26"/>
    <w:rsid w:val="001E48D8"/>
    <w:rsid w:val="001E4955"/>
    <w:rsid w:val="001E6A43"/>
    <w:rsid w:val="001E702B"/>
    <w:rsid w:val="001E7C1C"/>
    <w:rsid w:val="001E7C92"/>
    <w:rsid w:val="001F06A4"/>
    <w:rsid w:val="001F64A7"/>
    <w:rsid w:val="00200432"/>
    <w:rsid w:val="00200C70"/>
    <w:rsid w:val="00202835"/>
    <w:rsid w:val="00204BFB"/>
    <w:rsid w:val="00204FE5"/>
    <w:rsid w:val="00205443"/>
    <w:rsid w:val="002061FF"/>
    <w:rsid w:val="00206996"/>
    <w:rsid w:val="002069EB"/>
    <w:rsid w:val="002103C4"/>
    <w:rsid w:val="00213014"/>
    <w:rsid w:val="00213780"/>
    <w:rsid w:val="0021524A"/>
    <w:rsid w:val="00216771"/>
    <w:rsid w:val="00217676"/>
    <w:rsid w:val="00217A0B"/>
    <w:rsid w:val="00220CC9"/>
    <w:rsid w:val="00221745"/>
    <w:rsid w:val="00224D0E"/>
    <w:rsid w:val="0022651F"/>
    <w:rsid w:val="002268F9"/>
    <w:rsid w:val="00226D34"/>
    <w:rsid w:val="00227B1C"/>
    <w:rsid w:val="0023021A"/>
    <w:rsid w:val="002342ED"/>
    <w:rsid w:val="0023789E"/>
    <w:rsid w:val="00237F4B"/>
    <w:rsid w:val="00237FE4"/>
    <w:rsid w:val="00242FF4"/>
    <w:rsid w:val="00243B2B"/>
    <w:rsid w:val="00243F23"/>
    <w:rsid w:val="002478D6"/>
    <w:rsid w:val="002500FB"/>
    <w:rsid w:val="002504D6"/>
    <w:rsid w:val="0025272E"/>
    <w:rsid w:val="00252BA9"/>
    <w:rsid w:val="00257F23"/>
    <w:rsid w:val="00260597"/>
    <w:rsid w:val="002630C5"/>
    <w:rsid w:val="00265442"/>
    <w:rsid w:val="00265BB7"/>
    <w:rsid w:val="00267671"/>
    <w:rsid w:val="00267862"/>
    <w:rsid w:val="00267BB5"/>
    <w:rsid w:val="00267DA1"/>
    <w:rsid w:val="002706B7"/>
    <w:rsid w:val="0027162A"/>
    <w:rsid w:val="00271D45"/>
    <w:rsid w:val="00272FDC"/>
    <w:rsid w:val="00274EE6"/>
    <w:rsid w:val="00274F5A"/>
    <w:rsid w:val="00280CD8"/>
    <w:rsid w:val="002815DC"/>
    <w:rsid w:val="00282C8E"/>
    <w:rsid w:val="0028368B"/>
    <w:rsid w:val="00284B48"/>
    <w:rsid w:val="00285402"/>
    <w:rsid w:val="00287E43"/>
    <w:rsid w:val="00291433"/>
    <w:rsid w:val="00292FDC"/>
    <w:rsid w:val="002938C1"/>
    <w:rsid w:val="00294849"/>
    <w:rsid w:val="00294E45"/>
    <w:rsid w:val="002A2114"/>
    <w:rsid w:val="002A4103"/>
    <w:rsid w:val="002A68EF"/>
    <w:rsid w:val="002B0EE4"/>
    <w:rsid w:val="002B2F7F"/>
    <w:rsid w:val="002B325E"/>
    <w:rsid w:val="002B668D"/>
    <w:rsid w:val="002B6824"/>
    <w:rsid w:val="002B7BE7"/>
    <w:rsid w:val="002C145D"/>
    <w:rsid w:val="002C14D6"/>
    <w:rsid w:val="002C1D5D"/>
    <w:rsid w:val="002C33C6"/>
    <w:rsid w:val="002C528E"/>
    <w:rsid w:val="002C71FD"/>
    <w:rsid w:val="002D1907"/>
    <w:rsid w:val="002D1F74"/>
    <w:rsid w:val="002D2043"/>
    <w:rsid w:val="002D2679"/>
    <w:rsid w:val="002D2E6A"/>
    <w:rsid w:val="002D3998"/>
    <w:rsid w:val="002D60DE"/>
    <w:rsid w:val="002D631F"/>
    <w:rsid w:val="002D6C93"/>
    <w:rsid w:val="002E1BE6"/>
    <w:rsid w:val="002E2015"/>
    <w:rsid w:val="002E3B0E"/>
    <w:rsid w:val="002F022F"/>
    <w:rsid w:val="002F040B"/>
    <w:rsid w:val="002F1BFD"/>
    <w:rsid w:val="002F1D2A"/>
    <w:rsid w:val="002F3490"/>
    <w:rsid w:val="002F410B"/>
    <w:rsid w:val="002F51AB"/>
    <w:rsid w:val="002F735D"/>
    <w:rsid w:val="002F7DAF"/>
    <w:rsid w:val="0030686C"/>
    <w:rsid w:val="00307EA5"/>
    <w:rsid w:val="00310A25"/>
    <w:rsid w:val="0031366B"/>
    <w:rsid w:val="0031369B"/>
    <w:rsid w:val="003137BC"/>
    <w:rsid w:val="00313F34"/>
    <w:rsid w:val="00314018"/>
    <w:rsid w:val="003140BE"/>
    <w:rsid w:val="00317FB5"/>
    <w:rsid w:val="003235AF"/>
    <w:rsid w:val="00326028"/>
    <w:rsid w:val="00327E35"/>
    <w:rsid w:val="00331063"/>
    <w:rsid w:val="00331E5C"/>
    <w:rsid w:val="00332AA9"/>
    <w:rsid w:val="003340C4"/>
    <w:rsid w:val="00334A71"/>
    <w:rsid w:val="00336D93"/>
    <w:rsid w:val="0033722D"/>
    <w:rsid w:val="00337340"/>
    <w:rsid w:val="003376AC"/>
    <w:rsid w:val="00337AC8"/>
    <w:rsid w:val="00341411"/>
    <w:rsid w:val="00341415"/>
    <w:rsid w:val="003422FD"/>
    <w:rsid w:val="00344AF2"/>
    <w:rsid w:val="00345281"/>
    <w:rsid w:val="00346B15"/>
    <w:rsid w:val="00346CD6"/>
    <w:rsid w:val="00347A74"/>
    <w:rsid w:val="00351048"/>
    <w:rsid w:val="00352118"/>
    <w:rsid w:val="00353B56"/>
    <w:rsid w:val="00355181"/>
    <w:rsid w:val="003576A6"/>
    <w:rsid w:val="0036065C"/>
    <w:rsid w:val="0036252F"/>
    <w:rsid w:val="00362B69"/>
    <w:rsid w:val="003638F8"/>
    <w:rsid w:val="00364B57"/>
    <w:rsid w:val="003672A1"/>
    <w:rsid w:val="00367FBF"/>
    <w:rsid w:val="00371576"/>
    <w:rsid w:val="003723B8"/>
    <w:rsid w:val="003733AF"/>
    <w:rsid w:val="00375915"/>
    <w:rsid w:val="00375C17"/>
    <w:rsid w:val="003770DD"/>
    <w:rsid w:val="00377F94"/>
    <w:rsid w:val="003804E6"/>
    <w:rsid w:val="0038150C"/>
    <w:rsid w:val="003818D7"/>
    <w:rsid w:val="00381E57"/>
    <w:rsid w:val="0038278B"/>
    <w:rsid w:val="00382C2D"/>
    <w:rsid w:val="00383AF4"/>
    <w:rsid w:val="00384461"/>
    <w:rsid w:val="0038484B"/>
    <w:rsid w:val="003852DE"/>
    <w:rsid w:val="00385624"/>
    <w:rsid w:val="0038791A"/>
    <w:rsid w:val="00391DDF"/>
    <w:rsid w:val="00393E98"/>
    <w:rsid w:val="00394B32"/>
    <w:rsid w:val="00395C69"/>
    <w:rsid w:val="003971B6"/>
    <w:rsid w:val="003A0DCD"/>
    <w:rsid w:val="003A3C3E"/>
    <w:rsid w:val="003A3DB8"/>
    <w:rsid w:val="003A4DDE"/>
    <w:rsid w:val="003A4E91"/>
    <w:rsid w:val="003A5315"/>
    <w:rsid w:val="003A5C6E"/>
    <w:rsid w:val="003B0D2F"/>
    <w:rsid w:val="003B1104"/>
    <w:rsid w:val="003B1B77"/>
    <w:rsid w:val="003B37D1"/>
    <w:rsid w:val="003B527A"/>
    <w:rsid w:val="003B7339"/>
    <w:rsid w:val="003B75D8"/>
    <w:rsid w:val="003B7DC1"/>
    <w:rsid w:val="003B7EAA"/>
    <w:rsid w:val="003C0BC8"/>
    <w:rsid w:val="003C0F34"/>
    <w:rsid w:val="003C1AD0"/>
    <w:rsid w:val="003C29E8"/>
    <w:rsid w:val="003C2AFF"/>
    <w:rsid w:val="003C45BB"/>
    <w:rsid w:val="003D2D7D"/>
    <w:rsid w:val="003D3209"/>
    <w:rsid w:val="003D5BAE"/>
    <w:rsid w:val="003D75A1"/>
    <w:rsid w:val="003D78BF"/>
    <w:rsid w:val="003D7AD9"/>
    <w:rsid w:val="003E2289"/>
    <w:rsid w:val="003E364C"/>
    <w:rsid w:val="003E379F"/>
    <w:rsid w:val="003E667B"/>
    <w:rsid w:val="003E6C40"/>
    <w:rsid w:val="003F009A"/>
    <w:rsid w:val="003F2697"/>
    <w:rsid w:val="003F296C"/>
    <w:rsid w:val="003F311B"/>
    <w:rsid w:val="003F615D"/>
    <w:rsid w:val="003F73E1"/>
    <w:rsid w:val="004000EA"/>
    <w:rsid w:val="00400ADA"/>
    <w:rsid w:val="00400D48"/>
    <w:rsid w:val="004019CA"/>
    <w:rsid w:val="00403B89"/>
    <w:rsid w:val="0040538E"/>
    <w:rsid w:val="00406225"/>
    <w:rsid w:val="0040657C"/>
    <w:rsid w:val="00407489"/>
    <w:rsid w:val="00410BC9"/>
    <w:rsid w:val="00410D62"/>
    <w:rsid w:val="00412B4B"/>
    <w:rsid w:val="0041568D"/>
    <w:rsid w:val="004169B7"/>
    <w:rsid w:val="00416DBC"/>
    <w:rsid w:val="0041707D"/>
    <w:rsid w:val="00417194"/>
    <w:rsid w:val="004178F7"/>
    <w:rsid w:val="00421228"/>
    <w:rsid w:val="00422433"/>
    <w:rsid w:val="00422B28"/>
    <w:rsid w:val="00423FD6"/>
    <w:rsid w:val="00424505"/>
    <w:rsid w:val="0042455A"/>
    <w:rsid w:val="00424914"/>
    <w:rsid w:val="00427BAF"/>
    <w:rsid w:val="00432443"/>
    <w:rsid w:val="0043264B"/>
    <w:rsid w:val="00433D4A"/>
    <w:rsid w:val="004415DA"/>
    <w:rsid w:val="004423CF"/>
    <w:rsid w:val="004431D6"/>
    <w:rsid w:val="00447B95"/>
    <w:rsid w:val="00453D8E"/>
    <w:rsid w:val="00456C80"/>
    <w:rsid w:val="00457C65"/>
    <w:rsid w:val="00457DDB"/>
    <w:rsid w:val="00460F9B"/>
    <w:rsid w:val="00463D94"/>
    <w:rsid w:val="004641AF"/>
    <w:rsid w:val="0047019E"/>
    <w:rsid w:val="00471ABB"/>
    <w:rsid w:val="0047408C"/>
    <w:rsid w:val="004753A9"/>
    <w:rsid w:val="0047755C"/>
    <w:rsid w:val="00477B89"/>
    <w:rsid w:val="004822F3"/>
    <w:rsid w:val="00483169"/>
    <w:rsid w:val="00483DB4"/>
    <w:rsid w:val="00484045"/>
    <w:rsid w:val="004842A1"/>
    <w:rsid w:val="0048736C"/>
    <w:rsid w:val="004915AA"/>
    <w:rsid w:val="00493DF1"/>
    <w:rsid w:val="00495C12"/>
    <w:rsid w:val="00496BBA"/>
    <w:rsid w:val="00496C98"/>
    <w:rsid w:val="004974C7"/>
    <w:rsid w:val="004A016E"/>
    <w:rsid w:val="004A0B4A"/>
    <w:rsid w:val="004A22A9"/>
    <w:rsid w:val="004A24CA"/>
    <w:rsid w:val="004A5DDF"/>
    <w:rsid w:val="004B017C"/>
    <w:rsid w:val="004B08C4"/>
    <w:rsid w:val="004B090C"/>
    <w:rsid w:val="004B6D07"/>
    <w:rsid w:val="004C0559"/>
    <w:rsid w:val="004C0742"/>
    <w:rsid w:val="004C2D2B"/>
    <w:rsid w:val="004C39D7"/>
    <w:rsid w:val="004C3B03"/>
    <w:rsid w:val="004C428A"/>
    <w:rsid w:val="004C583B"/>
    <w:rsid w:val="004C7265"/>
    <w:rsid w:val="004C7B5B"/>
    <w:rsid w:val="004D2AEA"/>
    <w:rsid w:val="004D450B"/>
    <w:rsid w:val="004D614C"/>
    <w:rsid w:val="004D62FA"/>
    <w:rsid w:val="004D7F28"/>
    <w:rsid w:val="004E01E5"/>
    <w:rsid w:val="004E020C"/>
    <w:rsid w:val="004E0485"/>
    <w:rsid w:val="004E1608"/>
    <w:rsid w:val="004E5F7F"/>
    <w:rsid w:val="004E7C69"/>
    <w:rsid w:val="004F17BE"/>
    <w:rsid w:val="004F1CC2"/>
    <w:rsid w:val="004F2100"/>
    <w:rsid w:val="004F27A8"/>
    <w:rsid w:val="004F397B"/>
    <w:rsid w:val="004F4EA0"/>
    <w:rsid w:val="004F7436"/>
    <w:rsid w:val="00504333"/>
    <w:rsid w:val="00504566"/>
    <w:rsid w:val="005118F2"/>
    <w:rsid w:val="00511926"/>
    <w:rsid w:val="00512B2B"/>
    <w:rsid w:val="00517EE6"/>
    <w:rsid w:val="00521D8B"/>
    <w:rsid w:val="00524D28"/>
    <w:rsid w:val="00525C01"/>
    <w:rsid w:val="00526311"/>
    <w:rsid w:val="00531FC1"/>
    <w:rsid w:val="00533FD6"/>
    <w:rsid w:val="00541AD1"/>
    <w:rsid w:val="00544577"/>
    <w:rsid w:val="00544DCF"/>
    <w:rsid w:val="00546C5E"/>
    <w:rsid w:val="005514D1"/>
    <w:rsid w:val="005521D5"/>
    <w:rsid w:val="00552AE1"/>
    <w:rsid w:val="00556DE2"/>
    <w:rsid w:val="00557BAC"/>
    <w:rsid w:val="0056022A"/>
    <w:rsid w:val="005651C5"/>
    <w:rsid w:val="00565A04"/>
    <w:rsid w:val="00566BB9"/>
    <w:rsid w:val="00567A18"/>
    <w:rsid w:val="00570708"/>
    <w:rsid w:val="00572E16"/>
    <w:rsid w:val="00573612"/>
    <w:rsid w:val="005756A6"/>
    <w:rsid w:val="0057617F"/>
    <w:rsid w:val="00577073"/>
    <w:rsid w:val="00577820"/>
    <w:rsid w:val="00580969"/>
    <w:rsid w:val="00580C70"/>
    <w:rsid w:val="00582740"/>
    <w:rsid w:val="005840C3"/>
    <w:rsid w:val="00584F1A"/>
    <w:rsid w:val="0058630A"/>
    <w:rsid w:val="00586F4B"/>
    <w:rsid w:val="0058716D"/>
    <w:rsid w:val="00591C02"/>
    <w:rsid w:val="00592876"/>
    <w:rsid w:val="00596273"/>
    <w:rsid w:val="005A0734"/>
    <w:rsid w:val="005A0BB4"/>
    <w:rsid w:val="005A0F5C"/>
    <w:rsid w:val="005A18B2"/>
    <w:rsid w:val="005A1A8B"/>
    <w:rsid w:val="005A22DE"/>
    <w:rsid w:val="005A25A1"/>
    <w:rsid w:val="005A352C"/>
    <w:rsid w:val="005A5E4E"/>
    <w:rsid w:val="005B223D"/>
    <w:rsid w:val="005B2338"/>
    <w:rsid w:val="005B2C6A"/>
    <w:rsid w:val="005B4018"/>
    <w:rsid w:val="005B5CAB"/>
    <w:rsid w:val="005B6B6E"/>
    <w:rsid w:val="005B6ED2"/>
    <w:rsid w:val="005B717F"/>
    <w:rsid w:val="005C21B3"/>
    <w:rsid w:val="005C3C52"/>
    <w:rsid w:val="005C4514"/>
    <w:rsid w:val="005D26F4"/>
    <w:rsid w:val="005D2D9C"/>
    <w:rsid w:val="005D397E"/>
    <w:rsid w:val="005D3F67"/>
    <w:rsid w:val="005D5118"/>
    <w:rsid w:val="005D77DF"/>
    <w:rsid w:val="005E03BE"/>
    <w:rsid w:val="005E14E7"/>
    <w:rsid w:val="005E2672"/>
    <w:rsid w:val="005E305B"/>
    <w:rsid w:val="005E50DE"/>
    <w:rsid w:val="005E7210"/>
    <w:rsid w:val="005F022D"/>
    <w:rsid w:val="005F289F"/>
    <w:rsid w:val="005F34CB"/>
    <w:rsid w:val="005F3DCB"/>
    <w:rsid w:val="005F545C"/>
    <w:rsid w:val="005F5E87"/>
    <w:rsid w:val="005F67A8"/>
    <w:rsid w:val="005F6F4D"/>
    <w:rsid w:val="006014E1"/>
    <w:rsid w:val="006022D6"/>
    <w:rsid w:val="00604B9B"/>
    <w:rsid w:val="00611C84"/>
    <w:rsid w:val="006124EF"/>
    <w:rsid w:val="00614ED6"/>
    <w:rsid w:val="006165DB"/>
    <w:rsid w:val="00622D2E"/>
    <w:rsid w:val="00622D92"/>
    <w:rsid w:val="0062349C"/>
    <w:rsid w:val="006237DD"/>
    <w:rsid w:val="00623E33"/>
    <w:rsid w:val="006261FA"/>
    <w:rsid w:val="006268F9"/>
    <w:rsid w:val="00626A28"/>
    <w:rsid w:val="00630A19"/>
    <w:rsid w:val="006321A4"/>
    <w:rsid w:val="006334D8"/>
    <w:rsid w:val="00633766"/>
    <w:rsid w:val="00633A06"/>
    <w:rsid w:val="00634029"/>
    <w:rsid w:val="0063528D"/>
    <w:rsid w:val="00637C83"/>
    <w:rsid w:val="00637E16"/>
    <w:rsid w:val="00640A20"/>
    <w:rsid w:val="00641408"/>
    <w:rsid w:val="00641BA4"/>
    <w:rsid w:val="00641E61"/>
    <w:rsid w:val="006433E3"/>
    <w:rsid w:val="00643967"/>
    <w:rsid w:val="00643D87"/>
    <w:rsid w:val="0064506B"/>
    <w:rsid w:val="00645EFB"/>
    <w:rsid w:val="00647DFD"/>
    <w:rsid w:val="00650246"/>
    <w:rsid w:val="0065311C"/>
    <w:rsid w:val="00653E32"/>
    <w:rsid w:val="00654ABC"/>
    <w:rsid w:val="00654BB3"/>
    <w:rsid w:val="00655821"/>
    <w:rsid w:val="00655CDB"/>
    <w:rsid w:val="00656635"/>
    <w:rsid w:val="006569DE"/>
    <w:rsid w:val="00656F3D"/>
    <w:rsid w:val="006576D6"/>
    <w:rsid w:val="00657C7F"/>
    <w:rsid w:val="0066047E"/>
    <w:rsid w:val="00663418"/>
    <w:rsid w:val="0066477E"/>
    <w:rsid w:val="00665347"/>
    <w:rsid w:val="00665B0E"/>
    <w:rsid w:val="0067037E"/>
    <w:rsid w:val="00670D61"/>
    <w:rsid w:val="00672DC8"/>
    <w:rsid w:val="00673CCA"/>
    <w:rsid w:val="00677427"/>
    <w:rsid w:val="006804B2"/>
    <w:rsid w:val="006825A4"/>
    <w:rsid w:val="00683939"/>
    <w:rsid w:val="006868B1"/>
    <w:rsid w:val="006875C2"/>
    <w:rsid w:val="00687C17"/>
    <w:rsid w:val="00687D21"/>
    <w:rsid w:val="00690188"/>
    <w:rsid w:val="006901EB"/>
    <w:rsid w:val="006908DD"/>
    <w:rsid w:val="00690EC0"/>
    <w:rsid w:val="00693D9A"/>
    <w:rsid w:val="00693EAD"/>
    <w:rsid w:val="00694F87"/>
    <w:rsid w:val="006A2217"/>
    <w:rsid w:val="006A2EAD"/>
    <w:rsid w:val="006A40A4"/>
    <w:rsid w:val="006A4A00"/>
    <w:rsid w:val="006A6D1F"/>
    <w:rsid w:val="006A71E9"/>
    <w:rsid w:val="006A78A5"/>
    <w:rsid w:val="006B06A0"/>
    <w:rsid w:val="006B0C55"/>
    <w:rsid w:val="006B1CC8"/>
    <w:rsid w:val="006B21A5"/>
    <w:rsid w:val="006B23B0"/>
    <w:rsid w:val="006B4429"/>
    <w:rsid w:val="006C06C8"/>
    <w:rsid w:val="006C3328"/>
    <w:rsid w:val="006C3B08"/>
    <w:rsid w:val="006C4DD9"/>
    <w:rsid w:val="006D06D5"/>
    <w:rsid w:val="006D0A58"/>
    <w:rsid w:val="006D215B"/>
    <w:rsid w:val="006D55BC"/>
    <w:rsid w:val="006D5E66"/>
    <w:rsid w:val="006E09FC"/>
    <w:rsid w:val="006E4A84"/>
    <w:rsid w:val="006E5FDD"/>
    <w:rsid w:val="006E748B"/>
    <w:rsid w:val="006E7BF6"/>
    <w:rsid w:val="006F004A"/>
    <w:rsid w:val="006F01E2"/>
    <w:rsid w:val="006F0548"/>
    <w:rsid w:val="006F05C5"/>
    <w:rsid w:val="006F119E"/>
    <w:rsid w:val="006F5976"/>
    <w:rsid w:val="006F6EB7"/>
    <w:rsid w:val="006F7B8A"/>
    <w:rsid w:val="006F7BF4"/>
    <w:rsid w:val="00700CF0"/>
    <w:rsid w:val="00701B66"/>
    <w:rsid w:val="00702C34"/>
    <w:rsid w:val="007032E4"/>
    <w:rsid w:val="00705DC9"/>
    <w:rsid w:val="00706CFB"/>
    <w:rsid w:val="00707E13"/>
    <w:rsid w:val="00710A77"/>
    <w:rsid w:val="0071280C"/>
    <w:rsid w:val="00712E9F"/>
    <w:rsid w:val="007132E0"/>
    <w:rsid w:val="00720117"/>
    <w:rsid w:val="0072040C"/>
    <w:rsid w:val="00720D64"/>
    <w:rsid w:val="00720DA8"/>
    <w:rsid w:val="00721E7C"/>
    <w:rsid w:val="00724AA3"/>
    <w:rsid w:val="00725028"/>
    <w:rsid w:val="00733994"/>
    <w:rsid w:val="007352FD"/>
    <w:rsid w:val="0073756F"/>
    <w:rsid w:val="00741235"/>
    <w:rsid w:val="00742E8D"/>
    <w:rsid w:val="00744BCB"/>
    <w:rsid w:val="00744BD9"/>
    <w:rsid w:val="00745454"/>
    <w:rsid w:val="00746867"/>
    <w:rsid w:val="00746E89"/>
    <w:rsid w:val="00746FDC"/>
    <w:rsid w:val="00752C5F"/>
    <w:rsid w:val="0075367E"/>
    <w:rsid w:val="00755552"/>
    <w:rsid w:val="0075604D"/>
    <w:rsid w:val="007563E9"/>
    <w:rsid w:val="007567F0"/>
    <w:rsid w:val="00756A77"/>
    <w:rsid w:val="007573C6"/>
    <w:rsid w:val="007576A3"/>
    <w:rsid w:val="00757D5C"/>
    <w:rsid w:val="00761C7F"/>
    <w:rsid w:val="007628E5"/>
    <w:rsid w:val="00762CB6"/>
    <w:rsid w:val="0076310E"/>
    <w:rsid w:val="007642B9"/>
    <w:rsid w:val="0076604D"/>
    <w:rsid w:val="00767D98"/>
    <w:rsid w:val="007701F1"/>
    <w:rsid w:val="007707D9"/>
    <w:rsid w:val="0077133D"/>
    <w:rsid w:val="007720D5"/>
    <w:rsid w:val="007747F6"/>
    <w:rsid w:val="00776ED7"/>
    <w:rsid w:val="007774C4"/>
    <w:rsid w:val="007806E5"/>
    <w:rsid w:val="007809D6"/>
    <w:rsid w:val="007811B5"/>
    <w:rsid w:val="00782BAA"/>
    <w:rsid w:val="007836F7"/>
    <w:rsid w:val="00785366"/>
    <w:rsid w:val="00792B51"/>
    <w:rsid w:val="00793C63"/>
    <w:rsid w:val="0079736B"/>
    <w:rsid w:val="007A3650"/>
    <w:rsid w:val="007A5C25"/>
    <w:rsid w:val="007A788A"/>
    <w:rsid w:val="007A7DE3"/>
    <w:rsid w:val="007B04D3"/>
    <w:rsid w:val="007B4887"/>
    <w:rsid w:val="007C1464"/>
    <w:rsid w:val="007C163D"/>
    <w:rsid w:val="007C25F4"/>
    <w:rsid w:val="007C2CBB"/>
    <w:rsid w:val="007C3C96"/>
    <w:rsid w:val="007C42BF"/>
    <w:rsid w:val="007C4E64"/>
    <w:rsid w:val="007C7B61"/>
    <w:rsid w:val="007D023B"/>
    <w:rsid w:val="007D078B"/>
    <w:rsid w:val="007D1244"/>
    <w:rsid w:val="007D1E01"/>
    <w:rsid w:val="007D2B60"/>
    <w:rsid w:val="007D3F45"/>
    <w:rsid w:val="007E151E"/>
    <w:rsid w:val="007E4518"/>
    <w:rsid w:val="007E4C25"/>
    <w:rsid w:val="007E567F"/>
    <w:rsid w:val="007E637F"/>
    <w:rsid w:val="007F0CA5"/>
    <w:rsid w:val="007F32D0"/>
    <w:rsid w:val="007F4EFF"/>
    <w:rsid w:val="007F4FD2"/>
    <w:rsid w:val="007F6EBE"/>
    <w:rsid w:val="00805EB0"/>
    <w:rsid w:val="008060D5"/>
    <w:rsid w:val="00810294"/>
    <w:rsid w:val="00813A79"/>
    <w:rsid w:val="00814AA7"/>
    <w:rsid w:val="0081599D"/>
    <w:rsid w:val="00816192"/>
    <w:rsid w:val="00817F7E"/>
    <w:rsid w:val="008202F2"/>
    <w:rsid w:val="00821FB1"/>
    <w:rsid w:val="008252E4"/>
    <w:rsid w:val="00825DEE"/>
    <w:rsid w:val="008264A6"/>
    <w:rsid w:val="00827029"/>
    <w:rsid w:val="00833DD4"/>
    <w:rsid w:val="008349FE"/>
    <w:rsid w:val="00840A00"/>
    <w:rsid w:val="00842483"/>
    <w:rsid w:val="00845FAC"/>
    <w:rsid w:val="008500B8"/>
    <w:rsid w:val="00850D99"/>
    <w:rsid w:val="0085175E"/>
    <w:rsid w:val="00852D74"/>
    <w:rsid w:val="00854A7C"/>
    <w:rsid w:val="00854C50"/>
    <w:rsid w:val="00855EBF"/>
    <w:rsid w:val="00857327"/>
    <w:rsid w:val="00863931"/>
    <w:rsid w:val="00863E52"/>
    <w:rsid w:val="00870C5E"/>
    <w:rsid w:val="008747AA"/>
    <w:rsid w:val="00875B1C"/>
    <w:rsid w:val="008768A3"/>
    <w:rsid w:val="008854AA"/>
    <w:rsid w:val="00886350"/>
    <w:rsid w:val="00892DCF"/>
    <w:rsid w:val="00893399"/>
    <w:rsid w:val="00893922"/>
    <w:rsid w:val="008951BF"/>
    <w:rsid w:val="00896001"/>
    <w:rsid w:val="00896A84"/>
    <w:rsid w:val="008A0D06"/>
    <w:rsid w:val="008A0E9C"/>
    <w:rsid w:val="008A45E7"/>
    <w:rsid w:val="008A5963"/>
    <w:rsid w:val="008A7639"/>
    <w:rsid w:val="008B0810"/>
    <w:rsid w:val="008B1517"/>
    <w:rsid w:val="008B1C91"/>
    <w:rsid w:val="008B7C82"/>
    <w:rsid w:val="008C29F8"/>
    <w:rsid w:val="008C3187"/>
    <w:rsid w:val="008C5430"/>
    <w:rsid w:val="008C70E2"/>
    <w:rsid w:val="008C7D88"/>
    <w:rsid w:val="008D0D5B"/>
    <w:rsid w:val="008D2F00"/>
    <w:rsid w:val="008D59B5"/>
    <w:rsid w:val="008E03DD"/>
    <w:rsid w:val="008E275F"/>
    <w:rsid w:val="008E2971"/>
    <w:rsid w:val="008E2CB8"/>
    <w:rsid w:val="008E36AB"/>
    <w:rsid w:val="008E725E"/>
    <w:rsid w:val="008F3C37"/>
    <w:rsid w:val="008F4E59"/>
    <w:rsid w:val="008F52A0"/>
    <w:rsid w:val="008F5725"/>
    <w:rsid w:val="008F7552"/>
    <w:rsid w:val="00901AC1"/>
    <w:rsid w:val="00903DE8"/>
    <w:rsid w:val="00903E7D"/>
    <w:rsid w:val="00906816"/>
    <w:rsid w:val="00906C7E"/>
    <w:rsid w:val="00906F85"/>
    <w:rsid w:val="00907C5C"/>
    <w:rsid w:val="00910A56"/>
    <w:rsid w:val="00912501"/>
    <w:rsid w:val="00920897"/>
    <w:rsid w:val="00920E60"/>
    <w:rsid w:val="00921CF3"/>
    <w:rsid w:val="00921FE6"/>
    <w:rsid w:val="009221F9"/>
    <w:rsid w:val="009243A7"/>
    <w:rsid w:val="00925A1B"/>
    <w:rsid w:val="00926752"/>
    <w:rsid w:val="009272B0"/>
    <w:rsid w:val="0092766F"/>
    <w:rsid w:val="00930017"/>
    <w:rsid w:val="00930470"/>
    <w:rsid w:val="00930CD7"/>
    <w:rsid w:val="0093205D"/>
    <w:rsid w:val="0093245E"/>
    <w:rsid w:val="00932799"/>
    <w:rsid w:val="00933EE6"/>
    <w:rsid w:val="00934589"/>
    <w:rsid w:val="00934DBB"/>
    <w:rsid w:val="00935CE6"/>
    <w:rsid w:val="00937C95"/>
    <w:rsid w:val="00940D67"/>
    <w:rsid w:val="00940DB5"/>
    <w:rsid w:val="00943068"/>
    <w:rsid w:val="009448F2"/>
    <w:rsid w:val="00945268"/>
    <w:rsid w:val="009453E3"/>
    <w:rsid w:val="009463F7"/>
    <w:rsid w:val="00947754"/>
    <w:rsid w:val="009519F0"/>
    <w:rsid w:val="00951C03"/>
    <w:rsid w:val="0095227E"/>
    <w:rsid w:val="009526EB"/>
    <w:rsid w:val="00954D61"/>
    <w:rsid w:val="009573EC"/>
    <w:rsid w:val="00960630"/>
    <w:rsid w:val="009628D5"/>
    <w:rsid w:val="00962D94"/>
    <w:rsid w:val="00965477"/>
    <w:rsid w:val="00965CEF"/>
    <w:rsid w:val="009666C8"/>
    <w:rsid w:val="00966DEC"/>
    <w:rsid w:val="009672EC"/>
    <w:rsid w:val="00970401"/>
    <w:rsid w:val="00972AF7"/>
    <w:rsid w:val="00972C11"/>
    <w:rsid w:val="00972C57"/>
    <w:rsid w:val="00972D57"/>
    <w:rsid w:val="00973366"/>
    <w:rsid w:val="0097501F"/>
    <w:rsid w:val="009758F4"/>
    <w:rsid w:val="00975F35"/>
    <w:rsid w:val="0097631B"/>
    <w:rsid w:val="00977DA0"/>
    <w:rsid w:val="00980018"/>
    <w:rsid w:val="00980194"/>
    <w:rsid w:val="009860F7"/>
    <w:rsid w:val="00987E42"/>
    <w:rsid w:val="00994E83"/>
    <w:rsid w:val="009A0C95"/>
    <w:rsid w:val="009A1FE2"/>
    <w:rsid w:val="009A2171"/>
    <w:rsid w:val="009A4085"/>
    <w:rsid w:val="009A44C4"/>
    <w:rsid w:val="009A7922"/>
    <w:rsid w:val="009B2833"/>
    <w:rsid w:val="009B2BC1"/>
    <w:rsid w:val="009B2DAE"/>
    <w:rsid w:val="009B3012"/>
    <w:rsid w:val="009B5D9C"/>
    <w:rsid w:val="009B7094"/>
    <w:rsid w:val="009C2FD4"/>
    <w:rsid w:val="009C6281"/>
    <w:rsid w:val="009C715D"/>
    <w:rsid w:val="009D04AF"/>
    <w:rsid w:val="009D0F6B"/>
    <w:rsid w:val="009D311A"/>
    <w:rsid w:val="009D33E2"/>
    <w:rsid w:val="009D3648"/>
    <w:rsid w:val="009D3D28"/>
    <w:rsid w:val="009D5B16"/>
    <w:rsid w:val="009D6BC3"/>
    <w:rsid w:val="009D73AF"/>
    <w:rsid w:val="009E0328"/>
    <w:rsid w:val="009E160B"/>
    <w:rsid w:val="009E2F25"/>
    <w:rsid w:val="009E4F37"/>
    <w:rsid w:val="009E68E7"/>
    <w:rsid w:val="009E7480"/>
    <w:rsid w:val="009F5A64"/>
    <w:rsid w:val="00A000A6"/>
    <w:rsid w:val="00A00DF4"/>
    <w:rsid w:val="00A01B64"/>
    <w:rsid w:val="00A01F61"/>
    <w:rsid w:val="00A0290F"/>
    <w:rsid w:val="00A0462E"/>
    <w:rsid w:val="00A06D1C"/>
    <w:rsid w:val="00A10614"/>
    <w:rsid w:val="00A1150B"/>
    <w:rsid w:val="00A1229C"/>
    <w:rsid w:val="00A15DE1"/>
    <w:rsid w:val="00A175EA"/>
    <w:rsid w:val="00A23BD0"/>
    <w:rsid w:val="00A23F83"/>
    <w:rsid w:val="00A24A92"/>
    <w:rsid w:val="00A24C08"/>
    <w:rsid w:val="00A30E97"/>
    <w:rsid w:val="00A31198"/>
    <w:rsid w:val="00A324EF"/>
    <w:rsid w:val="00A326B6"/>
    <w:rsid w:val="00A34E6C"/>
    <w:rsid w:val="00A3517F"/>
    <w:rsid w:val="00A36328"/>
    <w:rsid w:val="00A37CB8"/>
    <w:rsid w:val="00A42B0D"/>
    <w:rsid w:val="00A443D3"/>
    <w:rsid w:val="00A53FF2"/>
    <w:rsid w:val="00A55CB4"/>
    <w:rsid w:val="00A55F62"/>
    <w:rsid w:val="00A56938"/>
    <w:rsid w:val="00A60BF6"/>
    <w:rsid w:val="00A6151A"/>
    <w:rsid w:val="00A6160C"/>
    <w:rsid w:val="00A6301C"/>
    <w:rsid w:val="00A6461F"/>
    <w:rsid w:val="00A660CB"/>
    <w:rsid w:val="00A66166"/>
    <w:rsid w:val="00A71D09"/>
    <w:rsid w:val="00A71EF3"/>
    <w:rsid w:val="00A722A5"/>
    <w:rsid w:val="00A7352A"/>
    <w:rsid w:val="00A7571E"/>
    <w:rsid w:val="00A77858"/>
    <w:rsid w:val="00A850A5"/>
    <w:rsid w:val="00A919B0"/>
    <w:rsid w:val="00A92415"/>
    <w:rsid w:val="00A939E3"/>
    <w:rsid w:val="00A94146"/>
    <w:rsid w:val="00A97ADD"/>
    <w:rsid w:val="00A97F8A"/>
    <w:rsid w:val="00AA3B93"/>
    <w:rsid w:val="00AA4DF0"/>
    <w:rsid w:val="00AA5480"/>
    <w:rsid w:val="00AA6407"/>
    <w:rsid w:val="00AA6A57"/>
    <w:rsid w:val="00AA7924"/>
    <w:rsid w:val="00AB1152"/>
    <w:rsid w:val="00AB1B3A"/>
    <w:rsid w:val="00AB1D4B"/>
    <w:rsid w:val="00AB2DF9"/>
    <w:rsid w:val="00AB5A16"/>
    <w:rsid w:val="00AB7A38"/>
    <w:rsid w:val="00AB7FC3"/>
    <w:rsid w:val="00AC10B6"/>
    <w:rsid w:val="00AC158F"/>
    <w:rsid w:val="00AC282A"/>
    <w:rsid w:val="00AC2D40"/>
    <w:rsid w:val="00AC317F"/>
    <w:rsid w:val="00AC4481"/>
    <w:rsid w:val="00AC5593"/>
    <w:rsid w:val="00AC560B"/>
    <w:rsid w:val="00AC641B"/>
    <w:rsid w:val="00AC6482"/>
    <w:rsid w:val="00AC7918"/>
    <w:rsid w:val="00AD3BC5"/>
    <w:rsid w:val="00AD3F81"/>
    <w:rsid w:val="00AD4A19"/>
    <w:rsid w:val="00AE27B7"/>
    <w:rsid w:val="00AE53FD"/>
    <w:rsid w:val="00AF2C80"/>
    <w:rsid w:val="00AF3FC2"/>
    <w:rsid w:val="00AF6461"/>
    <w:rsid w:val="00AF7174"/>
    <w:rsid w:val="00AF79C1"/>
    <w:rsid w:val="00B02785"/>
    <w:rsid w:val="00B045E0"/>
    <w:rsid w:val="00B110CF"/>
    <w:rsid w:val="00B11A41"/>
    <w:rsid w:val="00B15927"/>
    <w:rsid w:val="00B162DB"/>
    <w:rsid w:val="00B16568"/>
    <w:rsid w:val="00B1656E"/>
    <w:rsid w:val="00B178AC"/>
    <w:rsid w:val="00B20376"/>
    <w:rsid w:val="00B20BBE"/>
    <w:rsid w:val="00B2167C"/>
    <w:rsid w:val="00B21A66"/>
    <w:rsid w:val="00B2218F"/>
    <w:rsid w:val="00B22CE1"/>
    <w:rsid w:val="00B23CB7"/>
    <w:rsid w:val="00B24D0D"/>
    <w:rsid w:val="00B24DFD"/>
    <w:rsid w:val="00B26519"/>
    <w:rsid w:val="00B2659E"/>
    <w:rsid w:val="00B2695E"/>
    <w:rsid w:val="00B27785"/>
    <w:rsid w:val="00B30504"/>
    <w:rsid w:val="00B30FA3"/>
    <w:rsid w:val="00B36785"/>
    <w:rsid w:val="00B43086"/>
    <w:rsid w:val="00B438F6"/>
    <w:rsid w:val="00B43E84"/>
    <w:rsid w:val="00B447CE"/>
    <w:rsid w:val="00B4483B"/>
    <w:rsid w:val="00B452EF"/>
    <w:rsid w:val="00B45E53"/>
    <w:rsid w:val="00B47241"/>
    <w:rsid w:val="00B47E6A"/>
    <w:rsid w:val="00B5013E"/>
    <w:rsid w:val="00B501FE"/>
    <w:rsid w:val="00B505D8"/>
    <w:rsid w:val="00B52EDC"/>
    <w:rsid w:val="00B54730"/>
    <w:rsid w:val="00B548A9"/>
    <w:rsid w:val="00B56097"/>
    <w:rsid w:val="00B56915"/>
    <w:rsid w:val="00B56A1C"/>
    <w:rsid w:val="00B56F36"/>
    <w:rsid w:val="00B5754E"/>
    <w:rsid w:val="00B61052"/>
    <w:rsid w:val="00B676EA"/>
    <w:rsid w:val="00B67F10"/>
    <w:rsid w:val="00B711F9"/>
    <w:rsid w:val="00B71CB8"/>
    <w:rsid w:val="00B727E9"/>
    <w:rsid w:val="00B73D48"/>
    <w:rsid w:val="00B74F7C"/>
    <w:rsid w:val="00B751FF"/>
    <w:rsid w:val="00B75BD2"/>
    <w:rsid w:val="00B7684A"/>
    <w:rsid w:val="00B80496"/>
    <w:rsid w:val="00B80EC4"/>
    <w:rsid w:val="00B814CA"/>
    <w:rsid w:val="00B81BEA"/>
    <w:rsid w:val="00B8233E"/>
    <w:rsid w:val="00B84BF1"/>
    <w:rsid w:val="00B8516E"/>
    <w:rsid w:val="00B87AD1"/>
    <w:rsid w:val="00B917DA"/>
    <w:rsid w:val="00B9252F"/>
    <w:rsid w:val="00B94287"/>
    <w:rsid w:val="00B94318"/>
    <w:rsid w:val="00B95621"/>
    <w:rsid w:val="00B97669"/>
    <w:rsid w:val="00B979EE"/>
    <w:rsid w:val="00B97CB3"/>
    <w:rsid w:val="00BA0827"/>
    <w:rsid w:val="00BA0A86"/>
    <w:rsid w:val="00BA0E84"/>
    <w:rsid w:val="00BA1759"/>
    <w:rsid w:val="00BA179E"/>
    <w:rsid w:val="00BA3DF7"/>
    <w:rsid w:val="00BA72C7"/>
    <w:rsid w:val="00BA7E1C"/>
    <w:rsid w:val="00BB013F"/>
    <w:rsid w:val="00BB1FDE"/>
    <w:rsid w:val="00BB48BB"/>
    <w:rsid w:val="00BB5179"/>
    <w:rsid w:val="00BB5C7B"/>
    <w:rsid w:val="00BC0C95"/>
    <w:rsid w:val="00BC13C4"/>
    <w:rsid w:val="00BC1E8B"/>
    <w:rsid w:val="00BC2F5D"/>
    <w:rsid w:val="00BC3076"/>
    <w:rsid w:val="00BC7983"/>
    <w:rsid w:val="00BD3B4E"/>
    <w:rsid w:val="00BD63E5"/>
    <w:rsid w:val="00BE393B"/>
    <w:rsid w:val="00BE3AAC"/>
    <w:rsid w:val="00BE4025"/>
    <w:rsid w:val="00BE7CAD"/>
    <w:rsid w:val="00BF0227"/>
    <w:rsid w:val="00BF04D4"/>
    <w:rsid w:val="00BF3E78"/>
    <w:rsid w:val="00BF50CD"/>
    <w:rsid w:val="00BF53D6"/>
    <w:rsid w:val="00BF648A"/>
    <w:rsid w:val="00BF775D"/>
    <w:rsid w:val="00C0159F"/>
    <w:rsid w:val="00C028C3"/>
    <w:rsid w:val="00C02AC6"/>
    <w:rsid w:val="00C063B5"/>
    <w:rsid w:val="00C06647"/>
    <w:rsid w:val="00C0746A"/>
    <w:rsid w:val="00C20D6E"/>
    <w:rsid w:val="00C22E4D"/>
    <w:rsid w:val="00C24411"/>
    <w:rsid w:val="00C24C4B"/>
    <w:rsid w:val="00C25E6E"/>
    <w:rsid w:val="00C26230"/>
    <w:rsid w:val="00C26274"/>
    <w:rsid w:val="00C27410"/>
    <w:rsid w:val="00C27E18"/>
    <w:rsid w:val="00C30073"/>
    <w:rsid w:val="00C30905"/>
    <w:rsid w:val="00C310A5"/>
    <w:rsid w:val="00C31788"/>
    <w:rsid w:val="00C31BAC"/>
    <w:rsid w:val="00C32218"/>
    <w:rsid w:val="00C32CCF"/>
    <w:rsid w:val="00C3576D"/>
    <w:rsid w:val="00C36D01"/>
    <w:rsid w:val="00C410F8"/>
    <w:rsid w:val="00C4192F"/>
    <w:rsid w:val="00C43FB0"/>
    <w:rsid w:val="00C47F95"/>
    <w:rsid w:val="00C504F4"/>
    <w:rsid w:val="00C50DD5"/>
    <w:rsid w:val="00C52534"/>
    <w:rsid w:val="00C56178"/>
    <w:rsid w:val="00C60A12"/>
    <w:rsid w:val="00C658A0"/>
    <w:rsid w:val="00C704A2"/>
    <w:rsid w:val="00C731CB"/>
    <w:rsid w:val="00C743D1"/>
    <w:rsid w:val="00C75B45"/>
    <w:rsid w:val="00C76433"/>
    <w:rsid w:val="00C776B0"/>
    <w:rsid w:val="00C809D9"/>
    <w:rsid w:val="00C820C5"/>
    <w:rsid w:val="00C8423C"/>
    <w:rsid w:val="00C855BD"/>
    <w:rsid w:val="00C90FB8"/>
    <w:rsid w:val="00C915B6"/>
    <w:rsid w:val="00C91D12"/>
    <w:rsid w:val="00C92AF4"/>
    <w:rsid w:val="00C93F5F"/>
    <w:rsid w:val="00C943F2"/>
    <w:rsid w:val="00C94BC1"/>
    <w:rsid w:val="00C95103"/>
    <w:rsid w:val="00C95850"/>
    <w:rsid w:val="00C97B56"/>
    <w:rsid w:val="00CA141F"/>
    <w:rsid w:val="00CA19FE"/>
    <w:rsid w:val="00CA2BDB"/>
    <w:rsid w:val="00CA365F"/>
    <w:rsid w:val="00CA4BC1"/>
    <w:rsid w:val="00CA5A6E"/>
    <w:rsid w:val="00CA6195"/>
    <w:rsid w:val="00CA6BD0"/>
    <w:rsid w:val="00CB00D1"/>
    <w:rsid w:val="00CB2A9E"/>
    <w:rsid w:val="00CB53D5"/>
    <w:rsid w:val="00CB7201"/>
    <w:rsid w:val="00CC03FB"/>
    <w:rsid w:val="00CC4552"/>
    <w:rsid w:val="00CC69F8"/>
    <w:rsid w:val="00CC7273"/>
    <w:rsid w:val="00CD13CB"/>
    <w:rsid w:val="00CD2176"/>
    <w:rsid w:val="00CD3E42"/>
    <w:rsid w:val="00CD4395"/>
    <w:rsid w:val="00CD6708"/>
    <w:rsid w:val="00CD7604"/>
    <w:rsid w:val="00CE0BEF"/>
    <w:rsid w:val="00CE2941"/>
    <w:rsid w:val="00CE3E20"/>
    <w:rsid w:val="00CE52EE"/>
    <w:rsid w:val="00CE5CFF"/>
    <w:rsid w:val="00CE6B69"/>
    <w:rsid w:val="00CE7FD3"/>
    <w:rsid w:val="00CF01C5"/>
    <w:rsid w:val="00CF0474"/>
    <w:rsid w:val="00CF62D8"/>
    <w:rsid w:val="00D0120B"/>
    <w:rsid w:val="00D033F2"/>
    <w:rsid w:val="00D03B07"/>
    <w:rsid w:val="00D0647F"/>
    <w:rsid w:val="00D064CE"/>
    <w:rsid w:val="00D14015"/>
    <w:rsid w:val="00D20447"/>
    <w:rsid w:val="00D210E0"/>
    <w:rsid w:val="00D224EE"/>
    <w:rsid w:val="00D228E0"/>
    <w:rsid w:val="00D22D83"/>
    <w:rsid w:val="00D23D32"/>
    <w:rsid w:val="00D242BA"/>
    <w:rsid w:val="00D31AE3"/>
    <w:rsid w:val="00D34742"/>
    <w:rsid w:val="00D351BB"/>
    <w:rsid w:val="00D3630F"/>
    <w:rsid w:val="00D40141"/>
    <w:rsid w:val="00D4017F"/>
    <w:rsid w:val="00D4027D"/>
    <w:rsid w:val="00D41DCF"/>
    <w:rsid w:val="00D41F9B"/>
    <w:rsid w:val="00D42DBE"/>
    <w:rsid w:val="00D44D93"/>
    <w:rsid w:val="00D479FD"/>
    <w:rsid w:val="00D52DCC"/>
    <w:rsid w:val="00D534AE"/>
    <w:rsid w:val="00D543F2"/>
    <w:rsid w:val="00D55E89"/>
    <w:rsid w:val="00D56AA9"/>
    <w:rsid w:val="00D57559"/>
    <w:rsid w:val="00D604F4"/>
    <w:rsid w:val="00D60D99"/>
    <w:rsid w:val="00D61746"/>
    <w:rsid w:val="00D62803"/>
    <w:rsid w:val="00D635B5"/>
    <w:rsid w:val="00D639C6"/>
    <w:rsid w:val="00D63BEE"/>
    <w:rsid w:val="00D70FFE"/>
    <w:rsid w:val="00D71BD0"/>
    <w:rsid w:val="00D72025"/>
    <w:rsid w:val="00D72558"/>
    <w:rsid w:val="00D73721"/>
    <w:rsid w:val="00D738E5"/>
    <w:rsid w:val="00D801A7"/>
    <w:rsid w:val="00D826D8"/>
    <w:rsid w:val="00D83A31"/>
    <w:rsid w:val="00D85C71"/>
    <w:rsid w:val="00D8714A"/>
    <w:rsid w:val="00D94054"/>
    <w:rsid w:val="00D941B0"/>
    <w:rsid w:val="00D97A30"/>
    <w:rsid w:val="00DA1EEB"/>
    <w:rsid w:val="00DA2191"/>
    <w:rsid w:val="00DA460A"/>
    <w:rsid w:val="00DB0153"/>
    <w:rsid w:val="00DB166D"/>
    <w:rsid w:val="00DB2D1A"/>
    <w:rsid w:val="00DB4E72"/>
    <w:rsid w:val="00DB5091"/>
    <w:rsid w:val="00DB521A"/>
    <w:rsid w:val="00DB5E6D"/>
    <w:rsid w:val="00DB5F23"/>
    <w:rsid w:val="00DC0948"/>
    <w:rsid w:val="00DC1061"/>
    <w:rsid w:val="00DC1AC2"/>
    <w:rsid w:val="00DC2AE5"/>
    <w:rsid w:val="00DC3DC5"/>
    <w:rsid w:val="00DC4BE0"/>
    <w:rsid w:val="00DC5036"/>
    <w:rsid w:val="00DC5244"/>
    <w:rsid w:val="00DC6214"/>
    <w:rsid w:val="00DC62DE"/>
    <w:rsid w:val="00DC64AE"/>
    <w:rsid w:val="00DD4C25"/>
    <w:rsid w:val="00DD5F96"/>
    <w:rsid w:val="00DE1249"/>
    <w:rsid w:val="00DE281C"/>
    <w:rsid w:val="00DE4425"/>
    <w:rsid w:val="00DE56DC"/>
    <w:rsid w:val="00DE5FC8"/>
    <w:rsid w:val="00DE6EE8"/>
    <w:rsid w:val="00DE78B0"/>
    <w:rsid w:val="00DF112E"/>
    <w:rsid w:val="00DF1952"/>
    <w:rsid w:val="00DF1B27"/>
    <w:rsid w:val="00DF2E85"/>
    <w:rsid w:val="00DF2F56"/>
    <w:rsid w:val="00DF2FFF"/>
    <w:rsid w:val="00DF3A72"/>
    <w:rsid w:val="00DF56C9"/>
    <w:rsid w:val="00E00D38"/>
    <w:rsid w:val="00E021F7"/>
    <w:rsid w:val="00E0456A"/>
    <w:rsid w:val="00E04CA8"/>
    <w:rsid w:val="00E05A5C"/>
    <w:rsid w:val="00E074C3"/>
    <w:rsid w:val="00E129D3"/>
    <w:rsid w:val="00E12FF8"/>
    <w:rsid w:val="00E13B0C"/>
    <w:rsid w:val="00E149E8"/>
    <w:rsid w:val="00E1596F"/>
    <w:rsid w:val="00E166F9"/>
    <w:rsid w:val="00E21898"/>
    <w:rsid w:val="00E22DDC"/>
    <w:rsid w:val="00E2359D"/>
    <w:rsid w:val="00E2480E"/>
    <w:rsid w:val="00E25290"/>
    <w:rsid w:val="00E25368"/>
    <w:rsid w:val="00E26127"/>
    <w:rsid w:val="00E31285"/>
    <w:rsid w:val="00E31601"/>
    <w:rsid w:val="00E3549E"/>
    <w:rsid w:val="00E379D2"/>
    <w:rsid w:val="00E37B9D"/>
    <w:rsid w:val="00E404EC"/>
    <w:rsid w:val="00E40DB2"/>
    <w:rsid w:val="00E40DBD"/>
    <w:rsid w:val="00E417B0"/>
    <w:rsid w:val="00E4482C"/>
    <w:rsid w:val="00E44892"/>
    <w:rsid w:val="00E45D6D"/>
    <w:rsid w:val="00E4696A"/>
    <w:rsid w:val="00E55442"/>
    <w:rsid w:val="00E57640"/>
    <w:rsid w:val="00E60302"/>
    <w:rsid w:val="00E624F6"/>
    <w:rsid w:val="00E647A2"/>
    <w:rsid w:val="00E66536"/>
    <w:rsid w:val="00E66CC5"/>
    <w:rsid w:val="00E67FFA"/>
    <w:rsid w:val="00E7004E"/>
    <w:rsid w:val="00E70462"/>
    <w:rsid w:val="00E73860"/>
    <w:rsid w:val="00E75C62"/>
    <w:rsid w:val="00E83813"/>
    <w:rsid w:val="00E83F5A"/>
    <w:rsid w:val="00E86212"/>
    <w:rsid w:val="00E9417C"/>
    <w:rsid w:val="00E94C0A"/>
    <w:rsid w:val="00E96B79"/>
    <w:rsid w:val="00EA3D4C"/>
    <w:rsid w:val="00EA7C12"/>
    <w:rsid w:val="00EB09B0"/>
    <w:rsid w:val="00EB1348"/>
    <w:rsid w:val="00EB1B06"/>
    <w:rsid w:val="00EB6925"/>
    <w:rsid w:val="00EC0874"/>
    <w:rsid w:val="00EC0BC8"/>
    <w:rsid w:val="00EC0CCB"/>
    <w:rsid w:val="00EC113A"/>
    <w:rsid w:val="00EC2B0D"/>
    <w:rsid w:val="00ED0152"/>
    <w:rsid w:val="00ED125F"/>
    <w:rsid w:val="00ED409D"/>
    <w:rsid w:val="00ED44C4"/>
    <w:rsid w:val="00ED4723"/>
    <w:rsid w:val="00ED51BC"/>
    <w:rsid w:val="00EE1704"/>
    <w:rsid w:val="00EE2E36"/>
    <w:rsid w:val="00EE4ED8"/>
    <w:rsid w:val="00EE62C1"/>
    <w:rsid w:val="00EE7993"/>
    <w:rsid w:val="00EF1B44"/>
    <w:rsid w:val="00EF26B7"/>
    <w:rsid w:val="00EF2F7A"/>
    <w:rsid w:val="00EF3B15"/>
    <w:rsid w:val="00EF3C44"/>
    <w:rsid w:val="00EF3D0F"/>
    <w:rsid w:val="00EF48A4"/>
    <w:rsid w:val="00EF54DB"/>
    <w:rsid w:val="00EF6C65"/>
    <w:rsid w:val="00EF7AE6"/>
    <w:rsid w:val="00F01898"/>
    <w:rsid w:val="00F0197D"/>
    <w:rsid w:val="00F01A08"/>
    <w:rsid w:val="00F0226E"/>
    <w:rsid w:val="00F0584D"/>
    <w:rsid w:val="00F104E0"/>
    <w:rsid w:val="00F112D7"/>
    <w:rsid w:val="00F13CC0"/>
    <w:rsid w:val="00F14815"/>
    <w:rsid w:val="00F239AA"/>
    <w:rsid w:val="00F24240"/>
    <w:rsid w:val="00F2433A"/>
    <w:rsid w:val="00F26BA9"/>
    <w:rsid w:val="00F31E87"/>
    <w:rsid w:val="00F347BD"/>
    <w:rsid w:val="00F35104"/>
    <w:rsid w:val="00F35108"/>
    <w:rsid w:val="00F35EB1"/>
    <w:rsid w:val="00F36A88"/>
    <w:rsid w:val="00F42421"/>
    <w:rsid w:val="00F43E83"/>
    <w:rsid w:val="00F4506C"/>
    <w:rsid w:val="00F4615E"/>
    <w:rsid w:val="00F52DCE"/>
    <w:rsid w:val="00F531D2"/>
    <w:rsid w:val="00F534AB"/>
    <w:rsid w:val="00F55492"/>
    <w:rsid w:val="00F56EF7"/>
    <w:rsid w:val="00F5708D"/>
    <w:rsid w:val="00F57CF6"/>
    <w:rsid w:val="00F60C68"/>
    <w:rsid w:val="00F618ED"/>
    <w:rsid w:val="00F65441"/>
    <w:rsid w:val="00F6576A"/>
    <w:rsid w:val="00F65FFE"/>
    <w:rsid w:val="00F660F2"/>
    <w:rsid w:val="00F70178"/>
    <w:rsid w:val="00F71740"/>
    <w:rsid w:val="00F7225B"/>
    <w:rsid w:val="00F7236A"/>
    <w:rsid w:val="00F74CA1"/>
    <w:rsid w:val="00F77580"/>
    <w:rsid w:val="00F80D0D"/>
    <w:rsid w:val="00F8347B"/>
    <w:rsid w:val="00F8398F"/>
    <w:rsid w:val="00F8477D"/>
    <w:rsid w:val="00F87720"/>
    <w:rsid w:val="00F877D2"/>
    <w:rsid w:val="00F87D53"/>
    <w:rsid w:val="00F92133"/>
    <w:rsid w:val="00F9236A"/>
    <w:rsid w:val="00F94121"/>
    <w:rsid w:val="00F96810"/>
    <w:rsid w:val="00FA0313"/>
    <w:rsid w:val="00FA07C2"/>
    <w:rsid w:val="00FA115A"/>
    <w:rsid w:val="00FA1AE3"/>
    <w:rsid w:val="00FA1E85"/>
    <w:rsid w:val="00FA2C3D"/>
    <w:rsid w:val="00FA5876"/>
    <w:rsid w:val="00FA5C0A"/>
    <w:rsid w:val="00FA5CDE"/>
    <w:rsid w:val="00FB2C1E"/>
    <w:rsid w:val="00FB389D"/>
    <w:rsid w:val="00FB62B6"/>
    <w:rsid w:val="00FB6D11"/>
    <w:rsid w:val="00FB7B52"/>
    <w:rsid w:val="00FC04D5"/>
    <w:rsid w:val="00FC117D"/>
    <w:rsid w:val="00FC2275"/>
    <w:rsid w:val="00FC41DD"/>
    <w:rsid w:val="00FC6D30"/>
    <w:rsid w:val="00FC7E37"/>
    <w:rsid w:val="00FD380D"/>
    <w:rsid w:val="00FE09CB"/>
    <w:rsid w:val="00FE2C1C"/>
    <w:rsid w:val="00FE3122"/>
    <w:rsid w:val="00FE38E0"/>
    <w:rsid w:val="00FE4421"/>
    <w:rsid w:val="00FF0106"/>
    <w:rsid w:val="00FF396A"/>
    <w:rsid w:val="00FF40A1"/>
    <w:rsid w:val="00FF54E9"/>
    <w:rsid w:val="00FF5846"/>
    <w:rsid w:val="00FF7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B6A1F"/>
  <w15:docId w15:val="{04821DA3-F080-45A1-9F15-CADD5AE1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0D5"/>
    <w:rPr>
      <w:color w:val="0000FF" w:themeColor="hyperlink"/>
      <w:u w:val="single"/>
    </w:rPr>
  </w:style>
  <w:style w:type="table" w:styleId="TableGrid">
    <w:name w:val="Table Grid"/>
    <w:basedOn w:val="TableNormal"/>
    <w:uiPriority w:val="39"/>
    <w:rsid w:val="00903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31">
    <w:name w:val="List Table 4 - Accent 31"/>
    <w:basedOn w:val="TableNormal"/>
    <w:uiPriority w:val="49"/>
    <w:rsid w:val="0067037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1">
    <w:name w:val="List Table 41"/>
    <w:basedOn w:val="TableNormal"/>
    <w:uiPriority w:val="49"/>
    <w:rsid w:val="0067037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31">
    <w:name w:val="Plain Table 31"/>
    <w:basedOn w:val="TableNormal"/>
    <w:uiPriority w:val="43"/>
    <w:rsid w:val="0067037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2C33C6"/>
    <w:pPr>
      <w:ind w:left="720"/>
      <w:contextualSpacing/>
    </w:pPr>
  </w:style>
  <w:style w:type="paragraph" w:styleId="HTMLPreformatted">
    <w:name w:val="HTML Preformatted"/>
    <w:basedOn w:val="Normal"/>
    <w:link w:val="HTMLPreformattedChar"/>
    <w:uiPriority w:val="99"/>
    <w:semiHidden/>
    <w:unhideWhenUsed/>
    <w:rsid w:val="002C3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C33C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C3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17F"/>
    <w:rPr>
      <w:rFonts w:ascii="Tahoma" w:hAnsi="Tahoma" w:cs="Tahoma"/>
      <w:sz w:val="16"/>
      <w:szCs w:val="16"/>
    </w:rPr>
  </w:style>
  <w:style w:type="paragraph" w:styleId="FootnoteText">
    <w:name w:val="footnote text"/>
    <w:basedOn w:val="Normal"/>
    <w:link w:val="FootnoteTextChar"/>
    <w:uiPriority w:val="99"/>
    <w:semiHidden/>
    <w:unhideWhenUsed/>
    <w:rsid w:val="000E15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1519"/>
    <w:rPr>
      <w:sz w:val="20"/>
      <w:szCs w:val="20"/>
    </w:rPr>
  </w:style>
  <w:style w:type="character" w:styleId="FootnoteReference">
    <w:name w:val="footnote reference"/>
    <w:basedOn w:val="DefaultParagraphFont"/>
    <w:uiPriority w:val="99"/>
    <w:semiHidden/>
    <w:unhideWhenUsed/>
    <w:rsid w:val="000E1519"/>
    <w:rPr>
      <w:vertAlign w:val="superscript"/>
    </w:rPr>
  </w:style>
  <w:style w:type="character" w:styleId="Emphasis">
    <w:name w:val="Emphasis"/>
    <w:basedOn w:val="DefaultParagraphFont"/>
    <w:uiPriority w:val="20"/>
    <w:qFormat/>
    <w:rsid w:val="000E1519"/>
    <w:rPr>
      <w:i/>
      <w:iCs/>
    </w:rPr>
  </w:style>
  <w:style w:type="paragraph" w:styleId="Header">
    <w:name w:val="header"/>
    <w:basedOn w:val="Normal"/>
    <w:link w:val="HeaderChar"/>
    <w:uiPriority w:val="99"/>
    <w:unhideWhenUsed/>
    <w:rsid w:val="00AB1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D4B"/>
  </w:style>
  <w:style w:type="paragraph" w:styleId="Footer">
    <w:name w:val="footer"/>
    <w:basedOn w:val="Normal"/>
    <w:link w:val="FooterChar"/>
    <w:uiPriority w:val="99"/>
    <w:unhideWhenUsed/>
    <w:rsid w:val="00AB1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D4B"/>
  </w:style>
  <w:style w:type="character" w:styleId="Strong">
    <w:name w:val="Strong"/>
    <w:basedOn w:val="DefaultParagraphFont"/>
    <w:uiPriority w:val="22"/>
    <w:qFormat/>
    <w:rsid w:val="00DC6214"/>
    <w:rPr>
      <w:b/>
      <w:bCs/>
    </w:rPr>
  </w:style>
  <w:style w:type="character" w:styleId="CommentReference">
    <w:name w:val="annotation reference"/>
    <w:basedOn w:val="DefaultParagraphFont"/>
    <w:uiPriority w:val="99"/>
    <w:semiHidden/>
    <w:unhideWhenUsed/>
    <w:rsid w:val="003C0BC8"/>
    <w:rPr>
      <w:sz w:val="16"/>
      <w:szCs w:val="16"/>
    </w:rPr>
  </w:style>
  <w:style w:type="paragraph" w:styleId="CommentText">
    <w:name w:val="annotation text"/>
    <w:basedOn w:val="Normal"/>
    <w:link w:val="CommentTextChar"/>
    <w:uiPriority w:val="99"/>
    <w:semiHidden/>
    <w:unhideWhenUsed/>
    <w:rsid w:val="003C0BC8"/>
    <w:pPr>
      <w:spacing w:line="240" w:lineRule="auto"/>
    </w:pPr>
    <w:rPr>
      <w:sz w:val="20"/>
      <w:szCs w:val="20"/>
    </w:rPr>
  </w:style>
  <w:style w:type="character" w:customStyle="1" w:styleId="CommentTextChar">
    <w:name w:val="Comment Text Char"/>
    <w:basedOn w:val="DefaultParagraphFont"/>
    <w:link w:val="CommentText"/>
    <w:uiPriority w:val="99"/>
    <w:semiHidden/>
    <w:rsid w:val="003C0BC8"/>
    <w:rPr>
      <w:sz w:val="20"/>
      <w:szCs w:val="20"/>
    </w:rPr>
  </w:style>
  <w:style w:type="paragraph" w:styleId="CommentSubject">
    <w:name w:val="annotation subject"/>
    <w:basedOn w:val="CommentText"/>
    <w:next w:val="CommentText"/>
    <w:link w:val="CommentSubjectChar"/>
    <w:uiPriority w:val="99"/>
    <w:semiHidden/>
    <w:unhideWhenUsed/>
    <w:rsid w:val="003C0BC8"/>
    <w:rPr>
      <w:b/>
      <w:bCs/>
    </w:rPr>
  </w:style>
  <w:style w:type="character" w:customStyle="1" w:styleId="CommentSubjectChar">
    <w:name w:val="Comment Subject Char"/>
    <w:basedOn w:val="CommentTextChar"/>
    <w:link w:val="CommentSubject"/>
    <w:uiPriority w:val="99"/>
    <w:semiHidden/>
    <w:rsid w:val="003C0BC8"/>
    <w:rPr>
      <w:b/>
      <w:bCs/>
      <w:sz w:val="20"/>
      <w:szCs w:val="20"/>
    </w:rPr>
  </w:style>
  <w:style w:type="paragraph" w:styleId="NormalWeb">
    <w:name w:val="Normal (Web)"/>
    <w:basedOn w:val="Normal"/>
    <w:uiPriority w:val="99"/>
    <w:unhideWhenUsed/>
    <w:rsid w:val="00BC0C9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1Light1">
    <w:name w:val="Grid Table 1 Light1"/>
    <w:basedOn w:val="TableNormal"/>
    <w:uiPriority w:val="46"/>
    <w:rsid w:val="00707E1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EndnoteText">
    <w:name w:val="endnote text"/>
    <w:basedOn w:val="Normal"/>
    <w:link w:val="EndnoteTextChar"/>
    <w:uiPriority w:val="99"/>
    <w:semiHidden/>
    <w:unhideWhenUsed/>
    <w:rsid w:val="00DA46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460A"/>
    <w:rPr>
      <w:sz w:val="20"/>
      <w:szCs w:val="20"/>
    </w:rPr>
  </w:style>
  <w:style w:type="character" w:styleId="EndnoteReference">
    <w:name w:val="endnote reference"/>
    <w:basedOn w:val="DefaultParagraphFont"/>
    <w:uiPriority w:val="99"/>
    <w:semiHidden/>
    <w:unhideWhenUsed/>
    <w:rsid w:val="00DA460A"/>
    <w:rPr>
      <w:vertAlign w:val="superscript"/>
    </w:rPr>
  </w:style>
  <w:style w:type="character" w:customStyle="1" w:styleId="apple-converted-space">
    <w:name w:val="apple-converted-space"/>
    <w:basedOn w:val="DefaultParagraphFont"/>
    <w:rsid w:val="005B2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06741">
      <w:bodyDiv w:val="1"/>
      <w:marLeft w:val="0"/>
      <w:marRight w:val="0"/>
      <w:marTop w:val="0"/>
      <w:marBottom w:val="0"/>
      <w:divBdr>
        <w:top w:val="none" w:sz="0" w:space="0" w:color="auto"/>
        <w:left w:val="none" w:sz="0" w:space="0" w:color="auto"/>
        <w:bottom w:val="none" w:sz="0" w:space="0" w:color="auto"/>
        <w:right w:val="none" w:sz="0" w:space="0" w:color="auto"/>
      </w:divBdr>
    </w:div>
    <w:div w:id="385952706">
      <w:bodyDiv w:val="1"/>
      <w:marLeft w:val="0"/>
      <w:marRight w:val="0"/>
      <w:marTop w:val="0"/>
      <w:marBottom w:val="0"/>
      <w:divBdr>
        <w:top w:val="none" w:sz="0" w:space="0" w:color="auto"/>
        <w:left w:val="none" w:sz="0" w:space="0" w:color="auto"/>
        <w:bottom w:val="none" w:sz="0" w:space="0" w:color="auto"/>
        <w:right w:val="none" w:sz="0" w:space="0" w:color="auto"/>
      </w:divBdr>
    </w:div>
    <w:div w:id="531963319">
      <w:bodyDiv w:val="1"/>
      <w:marLeft w:val="0"/>
      <w:marRight w:val="0"/>
      <w:marTop w:val="0"/>
      <w:marBottom w:val="0"/>
      <w:divBdr>
        <w:top w:val="none" w:sz="0" w:space="0" w:color="auto"/>
        <w:left w:val="none" w:sz="0" w:space="0" w:color="auto"/>
        <w:bottom w:val="none" w:sz="0" w:space="0" w:color="auto"/>
        <w:right w:val="none" w:sz="0" w:space="0" w:color="auto"/>
      </w:divBdr>
      <w:divsChild>
        <w:div w:id="23411577">
          <w:marLeft w:val="950"/>
          <w:marRight w:val="0"/>
          <w:marTop w:val="75"/>
          <w:marBottom w:val="0"/>
          <w:divBdr>
            <w:top w:val="none" w:sz="0" w:space="0" w:color="auto"/>
            <w:left w:val="none" w:sz="0" w:space="0" w:color="auto"/>
            <w:bottom w:val="none" w:sz="0" w:space="0" w:color="auto"/>
            <w:right w:val="none" w:sz="0" w:space="0" w:color="auto"/>
          </w:divBdr>
        </w:div>
        <w:div w:id="133107779">
          <w:marLeft w:val="403"/>
          <w:marRight w:val="0"/>
          <w:marTop w:val="150"/>
          <w:marBottom w:val="0"/>
          <w:divBdr>
            <w:top w:val="none" w:sz="0" w:space="0" w:color="auto"/>
            <w:left w:val="none" w:sz="0" w:space="0" w:color="auto"/>
            <w:bottom w:val="none" w:sz="0" w:space="0" w:color="auto"/>
            <w:right w:val="none" w:sz="0" w:space="0" w:color="auto"/>
          </w:divBdr>
        </w:div>
        <w:div w:id="373503971">
          <w:marLeft w:val="403"/>
          <w:marRight w:val="0"/>
          <w:marTop w:val="150"/>
          <w:marBottom w:val="0"/>
          <w:divBdr>
            <w:top w:val="none" w:sz="0" w:space="0" w:color="auto"/>
            <w:left w:val="none" w:sz="0" w:space="0" w:color="auto"/>
            <w:bottom w:val="none" w:sz="0" w:space="0" w:color="auto"/>
            <w:right w:val="none" w:sz="0" w:space="0" w:color="auto"/>
          </w:divBdr>
        </w:div>
        <w:div w:id="1393119765">
          <w:marLeft w:val="403"/>
          <w:marRight w:val="0"/>
          <w:marTop w:val="150"/>
          <w:marBottom w:val="0"/>
          <w:divBdr>
            <w:top w:val="none" w:sz="0" w:space="0" w:color="auto"/>
            <w:left w:val="none" w:sz="0" w:space="0" w:color="auto"/>
            <w:bottom w:val="none" w:sz="0" w:space="0" w:color="auto"/>
            <w:right w:val="none" w:sz="0" w:space="0" w:color="auto"/>
          </w:divBdr>
        </w:div>
      </w:divsChild>
    </w:div>
    <w:div w:id="585188649">
      <w:bodyDiv w:val="1"/>
      <w:marLeft w:val="0"/>
      <w:marRight w:val="0"/>
      <w:marTop w:val="0"/>
      <w:marBottom w:val="0"/>
      <w:divBdr>
        <w:top w:val="none" w:sz="0" w:space="0" w:color="auto"/>
        <w:left w:val="none" w:sz="0" w:space="0" w:color="auto"/>
        <w:bottom w:val="none" w:sz="0" w:space="0" w:color="auto"/>
        <w:right w:val="none" w:sz="0" w:space="0" w:color="auto"/>
      </w:divBdr>
      <w:divsChild>
        <w:div w:id="152571735">
          <w:marLeft w:val="950"/>
          <w:marRight w:val="0"/>
          <w:marTop w:val="75"/>
          <w:marBottom w:val="0"/>
          <w:divBdr>
            <w:top w:val="none" w:sz="0" w:space="0" w:color="auto"/>
            <w:left w:val="none" w:sz="0" w:space="0" w:color="auto"/>
            <w:bottom w:val="none" w:sz="0" w:space="0" w:color="auto"/>
            <w:right w:val="none" w:sz="0" w:space="0" w:color="auto"/>
          </w:divBdr>
        </w:div>
        <w:div w:id="153421480">
          <w:marLeft w:val="403"/>
          <w:marRight w:val="0"/>
          <w:marTop w:val="150"/>
          <w:marBottom w:val="0"/>
          <w:divBdr>
            <w:top w:val="none" w:sz="0" w:space="0" w:color="auto"/>
            <w:left w:val="none" w:sz="0" w:space="0" w:color="auto"/>
            <w:bottom w:val="none" w:sz="0" w:space="0" w:color="auto"/>
            <w:right w:val="none" w:sz="0" w:space="0" w:color="auto"/>
          </w:divBdr>
        </w:div>
        <w:div w:id="738985640">
          <w:marLeft w:val="403"/>
          <w:marRight w:val="0"/>
          <w:marTop w:val="150"/>
          <w:marBottom w:val="0"/>
          <w:divBdr>
            <w:top w:val="none" w:sz="0" w:space="0" w:color="auto"/>
            <w:left w:val="none" w:sz="0" w:space="0" w:color="auto"/>
            <w:bottom w:val="none" w:sz="0" w:space="0" w:color="auto"/>
            <w:right w:val="none" w:sz="0" w:space="0" w:color="auto"/>
          </w:divBdr>
        </w:div>
        <w:div w:id="1591542478">
          <w:marLeft w:val="403"/>
          <w:marRight w:val="0"/>
          <w:marTop w:val="150"/>
          <w:marBottom w:val="0"/>
          <w:divBdr>
            <w:top w:val="none" w:sz="0" w:space="0" w:color="auto"/>
            <w:left w:val="none" w:sz="0" w:space="0" w:color="auto"/>
            <w:bottom w:val="none" w:sz="0" w:space="0" w:color="auto"/>
            <w:right w:val="none" w:sz="0" w:space="0" w:color="auto"/>
          </w:divBdr>
        </w:div>
      </w:divsChild>
    </w:div>
    <w:div w:id="742066388">
      <w:bodyDiv w:val="1"/>
      <w:marLeft w:val="0"/>
      <w:marRight w:val="0"/>
      <w:marTop w:val="0"/>
      <w:marBottom w:val="0"/>
      <w:divBdr>
        <w:top w:val="none" w:sz="0" w:space="0" w:color="auto"/>
        <w:left w:val="none" w:sz="0" w:space="0" w:color="auto"/>
        <w:bottom w:val="none" w:sz="0" w:space="0" w:color="auto"/>
        <w:right w:val="none" w:sz="0" w:space="0" w:color="auto"/>
      </w:divBdr>
    </w:div>
    <w:div w:id="1091050707">
      <w:bodyDiv w:val="1"/>
      <w:marLeft w:val="0"/>
      <w:marRight w:val="0"/>
      <w:marTop w:val="0"/>
      <w:marBottom w:val="0"/>
      <w:divBdr>
        <w:top w:val="none" w:sz="0" w:space="0" w:color="auto"/>
        <w:left w:val="none" w:sz="0" w:space="0" w:color="auto"/>
        <w:bottom w:val="none" w:sz="0" w:space="0" w:color="auto"/>
        <w:right w:val="none" w:sz="0" w:space="0" w:color="auto"/>
      </w:divBdr>
      <w:divsChild>
        <w:div w:id="497382056">
          <w:marLeft w:val="907"/>
          <w:marRight w:val="0"/>
          <w:marTop w:val="0"/>
          <w:marBottom w:val="0"/>
          <w:divBdr>
            <w:top w:val="none" w:sz="0" w:space="0" w:color="auto"/>
            <w:left w:val="none" w:sz="0" w:space="0" w:color="auto"/>
            <w:bottom w:val="none" w:sz="0" w:space="0" w:color="auto"/>
            <w:right w:val="none" w:sz="0" w:space="0" w:color="auto"/>
          </w:divBdr>
        </w:div>
        <w:div w:id="500050750">
          <w:marLeft w:val="907"/>
          <w:marRight w:val="0"/>
          <w:marTop w:val="0"/>
          <w:marBottom w:val="0"/>
          <w:divBdr>
            <w:top w:val="none" w:sz="0" w:space="0" w:color="auto"/>
            <w:left w:val="none" w:sz="0" w:space="0" w:color="auto"/>
            <w:bottom w:val="none" w:sz="0" w:space="0" w:color="auto"/>
            <w:right w:val="none" w:sz="0" w:space="0" w:color="auto"/>
          </w:divBdr>
        </w:div>
        <w:div w:id="1487163465">
          <w:marLeft w:val="907"/>
          <w:marRight w:val="0"/>
          <w:marTop w:val="0"/>
          <w:marBottom w:val="0"/>
          <w:divBdr>
            <w:top w:val="none" w:sz="0" w:space="0" w:color="auto"/>
            <w:left w:val="none" w:sz="0" w:space="0" w:color="auto"/>
            <w:bottom w:val="none" w:sz="0" w:space="0" w:color="auto"/>
            <w:right w:val="none" w:sz="0" w:space="0" w:color="auto"/>
          </w:divBdr>
        </w:div>
      </w:divsChild>
    </w:div>
    <w:div w:id="1131288882">
      <w:bodyDiv w:val="1"/>
      <w:marLeft w:val="0"/>
      <w:marRight w:val="0"/>
      <w:marTop w:val="0"/>
      <w:marBottom w:val="0"/>
      <w:divBdr>
        <w:top w:val="none" w:sz="0" w:space="0" w:color="auto"/>
        <w:left w:val="none" w:sz="0" w:space="0" w:color="auto"/>
        <w:bottom w:val="none" w:sz="0" w:space="0" w:color="auto"/>
        <w:right w:val="none" w:sz="0" w:space="0" w:color="auto"/>
      </w:divBdr>
      <w:divsChild>
        <w:div w:id="423456695">
          <w:marLeft w:val="0"/>
          <w:marRight w:val="0"/>
          <w:marTop w:val="0"/>
          <w:marBottom w:val="0"/>
          <w:divBdr>
            <w:top w:val="none" w:sz="0" w:space="0" w:color="auto"/>
            <w:left w:val="none" w:sz="0" w:space="0" w:color="auto"/>
            <w:bottom w:val="none" w:sz="0" w:space="0" w:color="auto"/>
            <w:right w:val="none" w:sz="0" w:space="0" w:color="auto"/>
          </w:divBdr>
        </w:div>
        <w:div w:id="1614436152">
          <w:marLeft w:val="0"/>
          <w:marRight w:val="0"/>
          <w:marTop w:val="0"/>
          <w:marBottom w:val="0"/>
          <w:divBdr>
            <w:top w:val="none" w:sz="0" w:space="0" w:color="auto"/>
            <w:left w:val="none" w:sz="0" w:space="0" w:color="auto"/>
            <w:bottom w:val="none" w:sz="0" w:space="0" w:color="auto"/>
            <w:right w:val="none" w:sz="0" w:space="0" w:color="auto"/>
          </w:divBdr>
        </w:div>
        <w:div w:id="634725671">
          <w:marLeft w:val="0"/>
          <w:marRight w:val="0"/>
          <w:marTop w:val="0"/>
          <w:marBottom w:val="0"/>
          <w:divBdr>
            <w:top w:val="none" w:sz="0" w:space="0" w:color="auto"/>
            <w:left w:val="none" w:sz="0" w:space="0" w:color="auto"/>
            <w:bottom w:val="none" w:sz="0" w:space="0" w:color="auto"/>
            <w:right w:val="none" w:sz="0" w:space="0" w:color="auto"/>
          </w:divBdr>
        </w:div>
        <w:div w:id="1338002858">
          <w:marLeft w:val="0"/>
          <w:marRight w:val="0"/>
          <w:marTop w:val="0"/>
          <w:marBottom w:val="0"/>
          <w:divBdr>
            <w:top w:val="none" w:sz="0" w:space="0" w:color="auto"/>
            <w:left w:val="none" w:sz="0" w:space="0" w:color="auto"/>
            <w:bottom w:val="none" w:sz="0" w:space="0" w:color="auto"/>
            <w:right w:val="none" w:sz="0" w:space="0" w:color="auto"/>
          </w:divBdr>
        </w:div>
        <w:div w:id="617761332">
          <w:marLeft w:val="0"/>
          <w:marRight w:val="0"/>
          <w:marTop w:val="0"/>
          <w:marBottom w:val="0"/>
          <w:divBdr>
            <w:top w:val="none" w:sz="0" w:space="0" w:color="auto"/>
            <w:left w:val="none" w:sz="0" w:space="0" w:color="auto"/>
            <w:bottom w:val="none" w:sz="0" w:space="0" w:color="auto"/>
            <w:right w:val="none" w:sz="0" w:space="0" w:color="auto"/>
          </w:divBdr>
        </w:div>
        <w:div w:id="1419903991">
          <w:marLeft w:val="0"/>
          <w:marRight w:val="0"/>
          <w:marTop w:val="0"/>
          <w:marBottom w:val="0"/>
          <w:divBdr>
            <w:top w:val="none" w:sz="0" w:space="0" w:color="auto"/>
            <w:left w:val="none" w:sz="0" w:space="0" w:color="auto"/>
            <w:bottom w:val="none" w:sz="0" w:space="0" w:color="auto"/>
            <w:right w:val="none" w:sz="0" w:space="0" w:color="auto"/>
          </w:divBdr>
        </w:div>
        <w:div w:id="501119270">
          <w:marLeft w:val="0"/>
          <w:marRight w:val="0"/>
          <w:marTop w:val="0"/>
          <w:marBottom w:val="0"/>
          <w:divBdr>
            <w:top w:val="none" w:sz="0" w:space="0" w:color="auto"/>
            <w:left w:val="none" w:sz="0" w:space="0" w:color="auto"/>
            <w:bottom w:val="none" w:sz="0" w:space="0" w:color="auto"/>
            <w:right w:val="none" w:sz="0" w:space="0" w:color="auto"/>
          </w:divBdr>
        </w:div>
      </w:divsChild>
    </w:div>
    <w:div w:id="1341080915">
      <w:bodyDiv w:val="1"/>
      <w:marLeft w:val="0"/>
      <w:marRight w:val="0"/>
      <w:marTop w:val="0"/>
      <w:marBottom w:val="0"/>
      <w:divBdr>
        <w:top w:val="none" w:sz="0" w:space="0" w:color="auto"/>
        <w:left w:val="none" w:sz="0" w:space="0" w:color="auto"/>
        <w:bottom w:val="none" w:sz="0" w:space="0" w:color="auto"/>
        <w:right w:val="none" w:sz="0" w:space="0" w:color="auto"/>
      </w:divBdr>
    </w:div>
    <w:div w:id="1642466903">
      <w:bodyDiv w:val="1"/>
      <w:marLeft w:val="0"/>
      <w:marRight w:val="0"/>
      <w:marTop w:val="0"/>
      <w:marBottom w:val="0"/>
      <w:divBdr>
        <w:top w:val="none" w:sz="0" w:space="0" w:color="auto"/>
        <w:left w:val="none" w:sz="0" w:space="0" w:color="auto"/>
        <w:bottom w:val="none" w:sz="0" w:space="0" w:color="auto"/>
        <w:right w:val="none" w:sz="0" w:space="0" w:color="auto"/>
      </w:divBdr>
      <w:divsChild>
        <w:div w:id="1461847746">
          <w:marLeft w:val="0"/>
          <w:marRight w:val="0"/>
          <w:marTop w:val="0"/>
          <w:marBottom w:val="0"/>
          <w:divBdr>
            <w:top w:val="none" w:sz="0" w:space="0" w:color="auto"/>
            <w:left w:val="none" w:sz="0" w:space="0" w:color="auto"/>
            <w:bottom w:val="none" w:sz="0" w:space="0" w:color="auto"/>
            <w:right w:val="none" w:sz="0" w:space="0" w:color="auto"/>
          </w:divBdr>
        </w:div>
        <w:div w:id="942766975">
          <w:marLeft w:val="0"/>
          <w:marRight w:val="0"/>
          <w:marTop w:val="0"/>
          <w:marBottom w:val="0"/>
          <w:divBdr>
            <w:top w:val="none" w:sz="0" w:space="0" w:color="auto"/>
            <w:left w:val="none" w:sz="0" w:space="0" w:color="auto"/>
            <w:bottom w:val="none" w:sz="0" w:space="0" w:color="auto"/>
            <w:right w:val="none" w:sz="0" w:space="0" w:color="auto"/>
          </w:divBdr>
        </w:div>
        <w:div w:id="1638140968">
          <w:marLeft w:val="0"/>
          <w:marRight w:val="0"/>
          <w:marTop w:val="0"/>
          <w:marBottom w:val="0"/>
          <w:divBdr>
            <w:top w:val="none" w:sz="0" w:space="0" w:color="auto"/>
            <w:left w:val="none" w:sz="0" w:space="0" w:color="auto"/>
            <w:bottom w:val="none" w:sz="0" w:space="0" w:color="auto"/>
            <w:right w:val="none" w:sz="0" w:space="0" w:color="auto"/>
          </w:divBdr>
        </w:div>
      </w:divsChild>
    </w:div>
    <w:div w:id="1754811107">
      <w:bodyDiv w:val="1"/>
      <w:marLeft w:val="0"/>
      <w:marRight w:val="0"/>
      <w:marTop w:val="0"/>
      <w:marBottom w:val="0"/>
      <w:divBdr>
        <w:top w:val="none" w:sz="0" w:space="0" w:color="auto"/>
        <w:left w:val="none" w:sz="0" w:space="0" w:color="auto"/>
        <w:bottom w:val="none" w:sz="0" w:space="0" w:color="auto"/>
        <w:right w:val="none" w:sz="0" w:space="0" w:color="auto"/>
      </w:divBdr>
      <w:divsChild>
        <w:div w:id="794564035">
          <w:marLeft w:val="1627"/>
          <w:marRight w:val="0"/>
          <w:marTop w:val="0"/>
          <w:marBottom w:val="0"/>
          <w:divBdr>
            <w:top w:val="none" w:sz="0" w:space="0" w:color="auto"/>
            <w:left w:val="none" w:sz="0" w:space="0" w:color="auto"/>
            <w:bottom w:val="none" w:sz="0" w:space="0" w:color="auto"/>
            <w:right w:val="none" w:sz="0" w:space="0" w:color="auto"/>
          </w:divBdr>
        </w:div>
        <w:div w:id="816410300">
          <w:marLeft w:val="907"/>
          <w:marRight w:val="0"/>
          <w:marTop w:val="0"/>
          <w:marBottom w:val="0"/>
          <w:divBdr>
            <w:top w:val="none" w:sz="0" w:space="0" w:color="auto"/>
            <w:left w:val="none" w:sz="0" w:space="0" w:color="auto"/>
            <w:bottom w:val="none" w:sz="0" w:space="0" w:color="auto"/>
            <w:right w:val="none" w:sz="0" w:space="0" w:color="auto"/>
          </w:divBdr>
        </w:div>
        <w:div w:id="1354068349">
          <w:marLeft w:val="907"/>
          <w:marRight w:val="0"/>
          <w:marTop w:val="0"/>
          <w:marBottom w:val="0"/>
          <w:divBdr>
            <w:top w:val="none" w:sz="0" w:space="0" w:color="auto"/>
            <w:left w:val="none" w:sz="0" w:space="0" w:color="auto"/>
            <w:bottom w:val="none" w:sz="0" w:space="0" w:color="auto"/>
            <w:right w:val="none" w:sz="0" w:space="0" w:color="auto"/>
          </w:divBdr>
        </w:div>
      </w:divsChild>
    </w:div>
    <w:div w:id="1783915179">
      <w:bodyDiv w:val="1"/>
      <w:marLeft w:val="0"/>
      <w:marRight w:val="0"/>
      <w:marTop w:val="0"/>
      <w:marBottom w:val="0"/>
      <w:divBdr>
        <w:top w:val="none" w:sz="0" w:space="0" w:color="auto"/>
        <w:left w:val="none" w:sz="0" w:space="0" w:color="auto"/>
        <w:bottom w:val="none" w:sz="0" w:space="0" w:color="auto"/>
        <w:right w:val="none" w:sz="0" w:space="0" w:color="auto"/>
      </w:divBdr>
      <w:divsChild>
        <w:div w:id="536893344">
          <w:marLeft w:val="720"/>
          <w:marRight w:val="0"/>
          <w:marTop w:val="0"/>
          <w:marBottom w:val="0"/>
          <w:divBdr>
            <w:top w:val="none" w:sz="0" w:space="0" w:color="auto"/>
            <w:left w:val="none" w:sz="0" w:space="0" w:color="auto"/>
            <w:bottom w:val="none" w:sz="0" w:space="0" w:color="auto"/>
            <w:right w:val="none" w:sz="0" w:space="0" w:color="auto"/>
          </w:divBdr>
        </w:div>
        <w:div w:id="588924132">
          <w:marLeft w:val="720"/>
          <w:marRight w:val="0"/>
          <w:marTop w:val="0"/>
          <w:marBottom w:val="0"/>
          <w:divBdr>
            <w:top w:val="none" w:sz="0" w:space="0" w:color="auto"/>
            <w:left w:val="none" w:sz="0" w:space="0" w:color="auto"/>
            <w:bottom w:val="none" w:sz="0" w:space="0" w:color="auto"/>
            <w:right w:val="none" w:sz="0" w:space="0" w:color="auto"/>
          </w:divBdr>
        </w:div>
        <w:div w:id="1494103010">
          <w:marLeft w:val="720"/>
          <w:marRight w:val="0"/>
          <w:marTop w:val="0"/>
          <w:marBottom w:val="0"/>
          <w:divBdr>
            <w:top w:val="none" w:sz="0" w:space="0" w:color="auto"/>
            <w:left w:val="none" w:sz="0" w:space="0" w:color="auto"/>
            <w:bottom w:val="none" w:sz="0" w:space="0" w:color="auto"/>
            <w:right w:val="none" w:sz="0" w:space="0" w:color="auto"/>
          </w:divBdr>
        </w:div>
        <w:div w:id="1553811336">
          <w:marLeft w:val="720"/>
          <w:marRight w:val="0"/>
          <w:marTop w:val="0"/>
          <w:marBottom w:val="0"/>
          <w:divBdr>
            <w:top w:val="none" w:sz="0" w:space="0" w:color="auto"/>
            <w:left w:val="none" w:sz="0" w:space="0" w:color="auto"/>
            <w:bottom w:val="none" w:sz="0" w:space="0" w:color="auto"/>
            <w:right w:val="none" w:sz="0" w:space="0" w:color="auto"/>
          </w:divBdr>
        </w:div>
        <w:div w:id="1860772187">
          <w:marLeft w:val="720"/>
          <w:marRight w:val="0"/>
          <w:marTop w:val="0"/>
          <w:marBottom w:val="0"/>
          <w:divBdr>
            <w:top w:val="none" w:sz="0" w:space="0" w:color="auto"/>
            <w:left w:val="none" w:sz="0" w:space="0" w:color="auto"/>
            <w:bottom w:val="none" w:sz="0" w:space="0" w:color="auto"/>
            <w:right w:val="none" w:sz="0" w:space="0" w:color="auto"/>
          </w:divBdr>
        </w:div>
        <w:div w:id="1889753978">
          <w:marLeft w:val="720"/>
          <w:marRight w:val="0"/>
          <w:marTop w:val="0"/>
          <w:marBottom w:val="0"/>
          <w:divBdr>
            <w:top w:val="none" w:sz="0" w:space="0" w:color="auto"/>
            <w:left w:val="none" w:sz="0" w:space="0" w:color="auto"/>
            <w:bottom w:val="none" w:sz="0" w:space="0" w:color="auto"/>
            <w:right w:val="none" w:sz="0" w:space="0" w:color="auto"/>
          </w:divBdr>
        </w:div>
        <w:div w:id="2093575868">
          <w:marLeft w:val="720"/>
          <w:marRight w:val="0"/>
          <w:marTop w:val="0"/>
          <w:marBottom w:val="0"/>
          <w:divBdr>
            <w:top w:val="none" w:sz="0" w:space="0" w:color="auto"/>
            <w:left w:val="none" w:sz="0" w:space="0" w:color="auto"/>
            <w:bottom w:val="none" w:sz="0" w:space="0" w:color="auto"/>
            <w:right w:val="none" w:sz="0" w:space="0" w:color="auto"/>
          </w:divBdr>
        </w:div>
      </w:divsChild>
    </w:div>
    <w:div w:id="1894463239">
      <w:bodyDiv w:val="1"/>
      <w:marLeft w:val="0"/>
      <w:marRight w:val="0"/>
      <w:marTop w:val="0"/>
      <w:marBottom w:val="0"/>
      <w:divBdr>
        <w:top w:val="none" w:sz="0" w:space="0" w:color="auto"/>
        <w:left w:val="none" w:sz="0" w:space="0" w:color="auto"/>
        <w:bottom w:val="none" w:sz="0" w:space="0" w:color="auto"/>
        <w:right w:val="none" w:sz="0" w:space="0" w:color="auto"/>
      </w:divBdr>
      <w:divsChild>
        <w:div w:id="18315736">
          <w:marLeft w:val="806"/>
          <w:marRight w:val="0"/>
          <w:marTop w:val="134"/>
          <w:marBottom w:val="0"/>
          <w:divBdr>
            <w:top w:val="none" w:sz="0" w:space="0" w:color="auto"/>
            <w:left w:val="none" w:sz="0" w:space="0" w:color="auto"/>
            <w:bottom w:val="none" w:sz="0" w:space="0" w:color="auto"/>
            <w:right w:val="none" w:sz="0" w:space="0" w:color="auto"/>
          </w:divBdr>
        </w:div>
        <w:div w:id="415515562">
          <w:marLeft w:val="806"/>
          <w:marRight w:val="0"/>
          <w:marTop w:val="134"/>
          <w:marBottom w:val="0"/>
          <w:divBdr>
            <w:top w:val="none" w:sz="0" w:space="0" w:color="auto"/>
            <w:left w:val="none" w:sz="0" w:space="0" w:color="auto"/>
            <w:bottom w:val="none" w:sz="0" w:space="0" w:color="auto"/>
            <w:right w:val="none" w:sz="0" w:space="0" w:color="auto"/>
          </w:divBdr>
        </w:div>
      </w:divsChild>
    </w:div>
    <w:div w:id="2007585438">
      <w:bodyDiv w:val="1"/>
      <w:marLeft w:val="0"/>
      <w:marRight w:val="0"/>
      <w:marTop w:val="0"/>
      <w:marBottom w:val="0"/>
      <w:divBdr>
        <w:top w:val="none" w:sz="0" w:space="0" w:color="auto"/>
        <w:left w:val="none" w:sz="0" w:space="0" w:color="auto"/>
        <w:bottom w:val="none" w:sz="0" w:space="0" w:color="auto"/>
        <w:right w:val="none" w:sz="0" w:space="0" w:color="auto"/>
      </w:divBdr>
      <w:divsChild>
        <w:div w:id="120807030">
          <w:marLeft w:val="403"/>
          <w:marRight w:val="0"/>
          <w:marTop w:val="150"/>
          <w:marBottom w:val="0"/>
          <w:divBdr>
            <w:top w:val="none" w:sz="0" w:space="0" w:color="auto"/>
            <w:left w:val="none" w:sz="0" w:space="0" w:color="auto"/>
            <w:bottom w:val="none" w:sz="0" w:space="0" w:color="auto"/>
            <w:right w:val="none" w:sz="0" w:space="0" w:color="auto"/>
          </w:divBdr>
        </w:div>
        <w:div w:id="1591039051">
          <w:marLeft w:val="403"/>
          <w:marRight w:val="0"/>
          <w:marTop w:val="150"/>
          <w:marBottom w:val="0"/>
          <w:divBdr>
            <w:top w:val="none" w:sz="0" w:space="0" w:color="auto"/>
            <w:left w:val="none" w:sz="0" w:space="0" w:color="auto"/>
            <w:bottom w:val="none" w:sz="0" w:space="0" w:color="auto"/>
            <w:right w:val="none" w:sz="0" w:space="0" w:color="auto"/>
          </w:divBdr>
        </w:div>
        <w:div w:id="2012440236">
          <w:marLeft w:val="403"/>
          <w:marRight w:val="0"/>
          <w:marTop w:val="150"/>
          <w:marBottom w:val="0"/>
          <w:divBdr>
            <w:top w:val="none" w:sz="0" w:space="0" w:color="auto"/>
            <w:left w:val="none" w:sz="0" w:space="0" w:color="auto"/>
            <w:bottom w:val="none" w:sz="0" w:space="0" w:color="auto"/>
            <w:right w:val="none" w:sz="0" w:space="0" w:color="auto"/>
          </w:divBdr>
        </w:div>
      </w:divsChild>
    </w:div>
    <w:div w:id="2043505983">
      <w:bodyDiv w:val="1"/>
      <w:marLeft w:val="0"/>
      <w:marRight w:val="0"/>
      <w:marTop w:val="0"/>
      <w:marBottom w:val="0"/>
      <w:divBdr>
        <w:top w:val="none" w:sz="0" w:space="0" w:color="auto"/>
        <w:left w:val="none" w:sz="0" w:space="0" w:color="auto"/>
        <w:bottom w:val="none" w:sz="0" w:space="0" w:color="auto"/>
        <w:right w:val="none" w:sz="0" w:space="0" w:color="auto"/>
      </w:divBdr>
      <w:divsChild>
        <w:div w:id="199708307">
          <w:marLeft w:val="0"/>
          <w:marRight w:val="0"/>
          <w:marTop w:val="0"/>
          <w:marBottom w:val="0"/>
          <w:divBdr>
            <w:top w:val="none" w:sz="0" w:space="0" w:color="auto"/>
            <w:left w:val="none" w:sz="0" w:space="0" w:color="auto"/>
            <w:bottom w:val="none" w:sz="0" w:space="0" w:color="auto"/>
            <w:right w:val="none" w:sz="0" w:space="0" w:color="auto"/>
          </w:divBdr>
        </w:div>
        <w:div w:id="152259914">
          <w:marLeft w:val="0"/>
          <w:marRight w:val="0"/>
          <w:marTop w:val="0"/>
          <w:marBottom w:val="0"/>
          <w:divBdr>
            <w:top w:val="none" w:sz="0" w:space="0" w:color="auto"/>
            <w:left w:val="none" w:sz="0" w:space="0" w:color="auto"/>
            <w:bottom w:val="none" w:sz="0" w:space="0" w:color="auto"/>
            <w:right w:val="none" w:sz="0" w:space="0" w:color="auto"/>
          </w:divBdr>
        </w:div>
        <w:div w:id="857305837">
          <w:marLeft w:val="0"/>
          <w:marRight w:val="0"/>
          <w:marTop w:val="0"/>
          <w:marBottom w:val="0"/>
          <w:divBdr>
            <w:top w:val="none" w:sz="0" w:space="0" w:color="auto"/>
            <w:left w:val="none" w:sz="0" w:space="0" w:color="auto"/>
            <w:bottom w:val="none" w:sz="0" w:space="0" w:color="auto"/>
            <w:right w:val="none" w:sz="0" w:space="0" w:color="auto"/>
          </w:divBdr>
        </w:div>
        <w:div w:id="705060619">
          <w:marLeft w:val="0"/>
          <w:marRight w:val="0"/>
          <w:marTop w:val="0"/>
          <w:marBottom w:val="0"/>
          <w:divBdr>
            <w:top w:val="none" w:sz="0" w:space="0" w:color="auto"/>
            <w:left w:val="none" w:sz="0" w:space="0" w:color="auto"/>
            <w:bottom w:val="none" w:sz="0" w:space="0" w:color="auto"/>
            <w:right w:val="none" w:sz="0" w:space="0" w:color="auto"/>
          </w:divBdr>
        </w:div>
        <w:div w:id="1470132041">
          <w:marLeft w:val="0"/>
          <w:marRight w:val="0"/>
          <w:marTop w:val="0"/>
          <w:marBottom w:val="0"/>
          <w:divBdr>
            <w:top w:val="none" w:sz="0" w:space="0" w:color="auto"/>
            <w:left w:val="none" w:sz="0" w:space="0" w:color="auto"/>
            <w:bottom w:val="none" w:sz="0" w:space="0" w:color="auto"/>
            <w:right w:val="none" w:sz="0" w:space="0" w:color="auto"/>
          </w:divBdr>
        </w:div>
      </w:divsChild>
    </w:div>
    <w:div w:id="2078480694">
      <w:bodyDiv w:val="1"/>
      <w:marLeft w:val="0"/>
      <w:marRight w:val="0"/>
      <w:marTop w:val="0"/>
      <w:marBottom w:val="0"/>
      <w:divBdr>
        <w:top w:val="none" w:sz="0" w:space="0" w:color="auto"/>
        <w:left w:val="none" w:sz="0" w:space="0" w:color="auto"/>
        <w:bottom w:val="none" w:sz="0" w:space="0" w:color="auto"/>
        <w:right w:val="none" w:sz="0" w:space="0" w:color="auto"/>
      </w:divBdr>
      <w:divsChild>
        <w:div w:id="2117862799">
          <w:marLeft w:val="0"/>
          <w:marRight w:val="0"/>
          <w:marTop w:val="0"/>
          <w:marBottom w:val="0"/>
          <w:divBdr>
            <w:top w:val="none" w:sz="0" w:space="0" w:color="auto"/>
            <w:left w:val="none" w:sz="0" w:space="0" w:color="auto"/>
            <w:bottom w:val="none" w:sz="0" w:space="0" w:color="auto"/>
            <w:right w:val="none" w:sz="0" w:space="0" w:color="auto"/>
          </w:divBdr>
        </w:div>
        <w:div w:id="1469082450">
          <w:marLeft w:val="0"/>
          <w:marRight w:val="0"/>
          <w:marTop w:val="0"/>
          <w:marBottom w:val="0"/>
          <w:divBdr>
            <w:top w:val="none" w:sz="0" w:space="0" w:color="auto"/>
            <w:left w:val="none" w:sz="0" w:space="0" w:color="auto"/>
            <w:bottom w:val="none" w:sz="0" w:space="0" w:color="auto"/>
            <w:right w:val="none" w:sz="0" w:space="0" w:color="auto"/>
          </w:divBdr>
        </w:div>
        <w:div w:id="1396246811">
          <w:marLeft w:val="0"/>
          <w:marRight w:val="0"/>
          <w:marTop w:val="0"/>
          <w:marBottom w:val="0"/>
          <w:divBdr>
            <w:top w:val="none" w:sz="0" w:space="0" w:color="auto"/>
            <w:left w:val="none" w:sz="0" w:space="0" w:color="auto"/>
            <w:bottom w:val="none" w:sz="0" w:space="0" w:color="auto"/>
            <w:right w:val="none" w:sz="0" w:space="0" w:color="auto"/>
          </w:divBdr>
        </w:div>
        <w:div w:id="1763527625">
          <w:marLeft w:val="0"/>
          <w:marRight w:val="0"/>
          <w:marTop w:val="0"/>
          <w:marBottom w:val="0"/>
          <w:divBdr>
            <w:top w:val="none" w:sz="0" w:space="0" w:color="auto"/>
            <w:left w:val="none" w:sz="0" w:space="0" w:color="auto"/>
            <w:bottom w:val="none" w:sz="0" w:space="0" w:color="auto"/>
            <w:right w:val="none" w:sz="0" w:space="0" w:color="auto"/>
          </w:divBdr>
        </w:div>
        <w:div w:id="1908301151">
          <w:marLeft w:val="0"/>
          <w:marRight w:val="0"/>
          <w:marTop w:val="0"/>
          <w:marBottom w:val="0"/>
          <w:divBdr>
            <w:top w:val="none" w:sz="0" w:space="0" w:color="auto"/>
            <w:left w:val="none" w:sz="0" w:space="0" w:color="auto"/>
            <w:bottom w:val="none" w:sz="0" w:space="0" w:color="auto"/>
            <w:right w:val="none" w:sz="0" w:space="0" w:color="auto"/>
          </w:divBdr>
        </w:div>
        <w:div w:id="380443826">
          <w:marLeft w:val="0"/>
          <w:marRight w:val="0"/>
          <w:marTop w:val="0"/>
          <w:marBottom w:val="0"/>
          <w:divBdr>
            <w:top w:val="none" w:sz="0" w:space="0" w:color="auto"/>
            <w:left w:val="none" w:sz="0" w:space="0" w:color="auto"/>
            <w:bottom w:val="none" w:sz="0" w:space="0" w:color="auto"/>
            <w:right w:val="none" w:sz="0" w:space="0" w:color="auto"/>
          </w:divBdr>
        </w:div>
        <w:div w:id="1671910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haw@ausin.utexas.edu" TargetMode="External"/><Relationship Id="rId13" Type="http://schemas.openxmlformats.org/officeDocument/2006/relationships/image" Target="media/image4.png"/><Relationship Id="rId18" Type="http://schemas.openxmlformats.org/officeDocument/2006/relationships/chart" Target="charts/chart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3.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chart" Target="charts/chart10.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10" Type="http://schemas.openxmlformats.org/officeDocument/2006/relationships/image" Target="media/image1.png"/><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yperlink" Target="mailto:bseaborn@targetpointconsulting.com" TargetMode="External"/><Relationship Id="rId14" Type="http://schemas.openxmlformats.org/officeDocument/2006/relationships/hyperlink" Target="mailto:N=@1.1" TargetMode="External"/><Relationship Id="rId22" Type="http://schemas.openxmlformats.org/officeDocument/2006/relationships/chart" Target="charts/chart8.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mj-lt"/>
                <a:ea typeface="+mn-ea"/>
                <a:cs typeface="+mn-cs"/>
              </a:defRPr>
            </a:pPr>
            <a:r>
              <a:rPr lang="en-US" sz="1100"/>
              <a:t>Broadcast Television</a:t>
            </a:r>
          </a:p>
        </c:rich>
      </c:tx>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j-lt"/>
              <a:ea typeface="+mn-ea"/>
              <a:cs typeface="+mn-cs"/>
            </a:defRPr>
          </a:pPr>
          <a:endParaRPr lang="en-US"/>
        </a:p>
      </c:txPr>
    </c:title>
    <c:autoTitleDeleted val="0"/>
    <c:plotArea>
      <c:layout/>
      <c:scatterChart>
        <c:scatterStyle val="lineMarker"/>
        <c:varyColors val="0"/>
        <c:ser>
          <c:idx val="0"/>
          <c:order val="0"/>
          <c:tx>
            <c:strRef>
              <c:f>Sheet1!$B$1</c:f>
              <c:strCache>
                <c:ptCount val="1"/>
                <c:pt idx="0">
                  <c:v>Abbott Favorability</c:v>
                </c:pt>
              </c:strCache>
            </c:strRef>
          </c:tx>
          <c:spPr>
            <a:ln w="25400" cap="rnd">
              <a:noFill/>
              <a:round/>
            </a:ln>
            <a:effectLst>
              <a:outerShdw blurRad="40000" dist="23000" dir="5400000" rotWithShape="0">
                <a:srgbClr val="000000">
                  <a:alpha val="35000"/>
                </a:srgbClr>
              </a:outerShdw>
            </a:effectLst>
          </c:spPr>
          <c:marker>
            <c:symbol val="circle"/>
            <c:size val="6"/>
            <c:spPr>
              <a:solidFill>
                <a:schemeClr val="tx1"/>
              </a:solidFill>
              <a:ln w="9525" cap="rnd">
                <a:solidFill>
                  <a:schemeClr val="accent1"/>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dLbl>
              <c:idx val="0"/>
              <c:layout>
                <c:manualLayout>
                  <c:x val="-0.10742657167854026"/>
                  <c:y val="-6.4467868935737874E-2"/>
                </c:manualLayout>
              </c:layout>
              <c:tx>
                <c:rich>
                  <a:bodyPr/>
                  <a:lstStyle/>
                  <a:p>
                    <a:r>
                      <a:rPr lang="en-US" b="1"/>
                      <a:t>Targeted</a:t>
                    </a:r>
                  </a:p>
                </c:rich>
              </c:tx>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5022943560626368E-2"/>
                  <c:y val="-7.0870713741427421E-2"/>
                </c:manualLayout>
              </c:layout>
              <c:tx>
                <c:rich>
                  <a:bodyPr rot="0" spcFirstLastPara="1" vertOverflow="ellipsis" vert="horz" wrap="square" anchor="ctr" anchorCtr="1"/>
                  <a:lstStyle/>
                  <a:p>
                    <a:pPr>
                      <a:defRPr sz="900" b="1" i="0" u="none" strike="noStrike" kern="1200" baseline="0">
                        <a:solidFill>
                          <a:schemeClr val="tx1">
                            <a:lumMod val="75000"/>
                            <a:lumOff val="25000"/>
                          </a:schemeClr>
                        </a:solidFill>
                        <a:latin typeface="+mj-lt"/>
                        <a:ea typeface="+mn-ea"/>
                        <a:cs typeface="+mn-cs"/>
                      </a:defRPr>
                    </a:pPr>
                    <a:r>
                      <a:rPr lang="en-US" b="1"/>
                      <a:t>Traditional</a:t>
                    </a:r>
                  </a:p>
                </c:rich>
              </c:tx>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j-lt"/>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manualLayout>
                      <c:w val="0.29702965700715978"/>
                      <c:h val="0.12883870967741937"/>
                    </c:manualLayout>
                  </c15:layout>
                </c:ext>
              </c:extLst>
            </c:dLbl>
            <c:dLbl>
              <c:idx val="2"/>
              <c:layout>
                <c:manualLayout>
                  <c:x val="-8.6462763583123575E-2"/>
                  <c:y val="-7.0919481838963738E-2"/>
                </c:manualLayout>
              </c:layout>
              <c:tx>
                <c:rich>
                  <a:bodyPr/>
                  <a:lstStyle/>
                  <a:p>
                    <a:r>
                      <a:rPr lang="en-US" b="1"/>
                      <a:t>No</a:t>
                    </a:r>
                    <a:r>
                      <a:rPr lang="en-US" b="1" baseline="0"/>
                      <a:t>ne</a:t>
                    </a:r>
                    <a:endParaRPr lang="en-US" b="1"/>
                  </a:p>
                </c:rich>
              </c:tx>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j-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Sheet1!$A$2:$A$4</c:f>
              <c:numCache>
                <c:formatCode>General</c:formatCode>
                <c:ptCount val="3"/>
                <c:pt idx="0">
                  <c:v>1.9</c:v>
                </c:pt>
                <c:pt idx="1">
                  <c:v>2.2999999999999998</c:v>
                </c:pt>
                <c:pt idx="2">
                  <c:v>-1.9</c:v>
                </c:pt>
              </c:numCache>
            </c:numRef>
          </c:xVal>
          <c:yVal>
            <c:numRef>
              <c:f>Sheet1!$B$2:$B$4</c:f>
              <c:numCache>
                <c:formatCode>General</c:formatCode>
                <c:ptCount val="3"/>
                <c:pt idx="0">
                  <c:v>10.4</c:v>
                </c:pt>
                <c:pt idx="1">
                  <c:v>-0.6</c:v>
                </c:pt>
                <c:pt idx="2">
                  <c:v>-3.6</c:v>
                </c:pt>
              </c:numCache>
            </c:numRef>
          </c:yVal>
          <c:smooth val="0"/>
        </c:ser>
        <c:dLbls>
          <c:dLblPos val="t"/>
          <c:showLegendKey val="0"/>
          <c:showVal val="1"/>
          <c:showCatName val="0"/>
          <c:showSerName val="0"/>
          <c:showPercent val="0"/>
          <c:showBubbleSize val="0"/>
        </c:dLbls>
        <c:axId val="-2054886448"/>
        <c:axId val="-2054885360"/>
      </c:scatterChart>
      <c:valAx>
        <c:axId val="-2054886448"/>
        <c:scaling>
          <c:orientation val="minMax"/>
          <c:max val="5"/>
          <c:min val="-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j-lt"/>
                    <a:ea typeface="+mn-ea"/>
                    <a:cs typeface="+mn-cs"/>
                  </a:defRPr>
                </a:pPr>
                <a:r>
                  <a:rPr lang="en-US" b="1"/>
                  <a:t>Lower Turnout                    Higher Turnout</a:t>
                </a:r>
              </a:p>
            </c:rich>
          </c:tx>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j-lt"/>
                  <a:ea typeface="+mn-ea"/>
                  <a:cs typeface="+mn-cs"/>
                </a:defRPr>
              </a:pPr>
              <a:endParaRPr lang="en-US"/>
            </a:p>
          </c:txPr>
        </c:title>
        <c:numFmt formatCode="General" sourceLinked="1"/>
        <c:majorTickMark val="in"/>
        <c:minorTickMark val="in"/>
        <c:tickLblPos val="nextTo"/>
        <c:spPr>
          <a:noFill/>
          <a:ln>
            <a:solidFill>
              <a:schemeClr val="dk1">
                <a:lumMod val="20000"/>
                <a:lumOff val="8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054885360"/>
        <c:crosses val="autoZero"/>
        <c:crossBetween val="midCat"/>
        <c:majorUnit val="5"/>
      </c:valAx>
      <c:valAx>
        <c:axId val="-2054885360"/>
        <c:scaling>
          <c:orientation val="minMax"/>
          <c:max val="15"/>
          <c:min val="-1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j-lt"/>
                    <a:ea typeface="+mn-ea"/>
                    <a:cs typeface="+mn-cs"/>
                  </a:defRPr>
                </a:pPr>
                <a:r>
                  <a:rPr lang="en-US" b="1"/>
                  <a:t>Less Fav.        More Fav.</a:t>
                </a:r>
              </a:p>
            </c:rich>
          </c:tx>
          <c:layout>
            <c:manualLayout>
              <c:xMode val="edge"/>
              <c:yMode val="edge"/>
              <c:x val="5.4421768707482991E-2"/>
              <c:y val="0.23361290322580644"/>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j-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05488644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mj-lt"/>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mj-lt"/>
                <a:ea typeface="+mn-ea"/>
                <a:cs typeface="+mn-cs"/>
              </a:defRPr>
            </a:pPr>
            <a:r>
              <a:rPr lang="en-US" sz="1100"/>
              <a:t>Figure 5--Effects of Campaign Communication in a Broadcast Environment</a:t>
            </a:r>
          </a:p>
        </c:rich>
      </c:tx>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j-lt"/>
              <a:ea typeface="+mn-ea"/>
              <a:cs typeface="+mn-cs"/>
            </a:defRPr>
          </a:pPr>
          <a:endParaRPr lang="en-US"/>
        </a:p>
      </c:txPr>
    </c:title>
    <c:autoTitleDeleted val="0"/>
    <c:plotArea>
      <c:layout>
        <c:manualLayout>
          <c:layoutTarget val="inner"/>
          <c:xMode val="edge"/>
          <c:yMode val="edge"/>
          <c:x val="6.1912598425196849E-2"/>
          <c:y val="0.16785562632696391"/>
          <c:w val="0.9016874015748032"/>
          <c:h val="0.73123125532875266"/>
        </c:manualLayout>
      </c:layout>
      <c:scatterChart>
        <c:scatterStyle val="lineMarker"/>
        <c:varyColors val="0"/>
        <c:ser>
          <c:idx val="0"/>
          <c:order val="0"/>
          <c:tx>
            <c:strRef>
              <c:f>Sheet1!$B$1</c:f>
              <c:strCache>
                <c:ptCount val="1"/>
                <c:pt idx="0">
                  <c:v>Abbott Favorability</c:v>
                </c:pt>
              </c:strCache>
            </c:strRef>
          </c:tx>
          <c:spPr>
            <a:ln w="25400" cap="rnd">
              <a:noFill/>
              <a:round/>
            </a:ln>
            <a:effectLst>
              <a:outerShdw blurRad="40000" dist="23000" dir="5400000" rotWithShape="0">
                <a:srgbClr val="000000">
                  <a:alpha val="35000"/>
                </a:srgbClr>
              </a:outerShdw>
            </a:effectLst>
          </c:spPr>
          <c:marker>
            <c:symbol val="circle"/>
            <c:size val="6"/>
            <c:spPr>
              <a:solidFill>
                <a:schemeClr val="tx1"/>
              </a:solidFill>
              <a:ln w="9525" cap="rnd">
                <a:solidFill>
                  <a:schemeClr val="accent1"/>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dLbl>
              <c:idx val="0"/>
              <c:layout>
                <c:manualLayout>
                  <c:x val="-5.2768897637795277E-2"/>
                  <c:y val="-3.602955681495227E-2"/>
                </c:manualLayout>
              </c:layout>
              <c:tx>
                <c:rich>
                  <a:bodyPr/>
                  <a:lstStyle/>
                  <a:p>
                    <a:r>
                      <a:rPr lang="en-US" b="1"/>
                      <a:t>Radio</a:t>
                    </a:r>
                  </a:p>
                </c:rich>
              </c:tx>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2499999999999995E-2"/>
                  <c:y val="-5.5201737713820254E-2"/>
                </c:manualLayout>
              </c:layout>
              <c:tx>
                <c:rich>
                  <a:bodyPr/>
                  <a:lstStyle/>
                  <a:p>
                    <a:r>
                      <a:rPr lang="en-US" b="1"/>
                      <a:t>Targeted </a:t>
                    </a:r>
                  </a:p>
                  <a:p>
                    <a:r>
                      <a:rPr lang="en-US" b="1"/>
                      <a:t>Cable</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3875984251968495E-3"/>
                  <c:y val="-2.9467825142546901E-2"/>
                </c:manualLayout>
              </c:layout>
              <c:tx>
                <c:rich>
                  <a:bodyPr/>
                  <a:lstStyle/>
                  <a:p>
                    <a:r>
                      <a:rPr lang="en-US" b="1"/>
                      <a:t>Mail</a:t>
                    </a:r>
                  </a:p>
                </c:rich>
              </c:tx>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9940551181102362E-2"/>
                  <c:y val="9.3418259023354558E-2"/>
                </c:manualLayout>
              </c:layout>
              <c:tx>
                <c:rich>
                  <a:bodyPr/>
                  <a:lstStyle/>
                  <a:p>
                    <a:r>
                      <a:rPr lang="en-US"/>
                      <a:t>Facebook</a:t>
                    </a:r>
                  </a:p>
                </c:rich>
              </c:tx>
              <c:dLblPos val="r"/>
              <c:showLegendKey val="0"/>
              <c:showVal val="1"/>
              <c:showCatName val="0"/>
              <c:showSerName val="0"/>
              <c:showPercent val="0"/>
              <c:showBubbleSize val="0"/>
              <c:extLst>
                <c:ext xmlns:c15="http://schemas.microsoft.com/office/drawing/2012/chart" uri="{CE6537A1-D6FC-4f65-9D91-7224C49458BB}">
                  <c15:layout>
                    <c:manualLayout>
                      <c:w val="0.17988090551181102"/>
                      <c:h val="6.2116455188324392E-2"/>
                    </c:manualLayout>
                  </c15:layout>
                </c:ext>
              </c:extLst>
            </c:dLbl>
            <c:dLbl>
              <c:idx val="4"/>
              <c:layout>
                <c:manualLayout>
                  <c:x val="-0.12766259842519689"/>
                  <c:y val="-4.2462666304642956E-3"/>
                </c:manualLayout>
              </c:layout>
              <c:tx>
                <c:rich>
                  <a:bodyPr/>
                  <a:lstStyle/>
                  <a:p>
                    <a:r>
                      <a:rPr lang="en-US" b="1"/>
                      <a:t>Pre-Roll</a:t>
                    </a:r>
                  </a:p>
                </c:rich>
              </c:tx>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2681299212598425E-2"/>
                  <c:y val="-8.4925690021231418E-2"/>
                </c:manualLayout>
              </c:layout>
              <c:tx>
                <c:rich>
                  <a:bodyPr/>
                  <a:lstStyle/>
                  <a:p>
                    <a:r>
                      <a:rPr lang="en-US" b="1"/>
                      <a:t>Internet</a:t>
                    </a:r>
                  </a:p>
                </c:rich>
              </c:tx>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4.3200000000000002E-2"/>
                  <c:y val="-3.6108064078197125E-2"/>
                </c:manualLayout>
              </c:layout>
              <c:tx>
                <c:rich>
                  <a:bodyPr/>
                  <a:lstStyle/>
                  <a:p>
                    <a:r>
                      <a:rPr lang="en-US" b="1"/>
                      <a:t>Traditional</a:t>
                    </a:r>
                  </a:p>
                  <a:p>
                    <a:r>
                      <a:rPr lang="en-US" b="1"/>
                      <a:t>Cable</a:t>
                    </a:r>
                  </a:p>
                </c:rich>
              </c:tx>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j-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Sheet1!$A$2:$A$8</c:f>
              <c:numCache>
                <c:formatCode>General</c:formatCode>
                <c:ptCount val="7"/>
                <c:pt idx="0">
                  <c:v>4.9000000000000004</c:v>
                </c:pt>
                <c:pt idx="1">
                  <c:v>-0.8</c:v>
                </c:pt>
                <c:pt idx="2">
                  <c:v>0.1</c:v>
                </c:pt>
                <c:pt idx="3">
                  <c:v>0.1</c:v>
                </c:pt>
                <c:pt idx="4">
                  <c:v>-0.1</c:v>
                </c:pt>
                <c:pt idx="5">
                  <c:v>0.2</c:v>
                </c:pt>
                <c:pt idx="6">
                  <c:v>6</c:v>
                </c:pt>
              </c:numCache>
            </c:numRef>
          </c:xVal>
          <c:yVal>
            <c:numRef>
              <c:f>Sheet1!$B$2:$B$8</c:f>
              <c:numCache>
                <c:formatCode>General</c:formatCode>
                <c:ptCount val="7"/>
                <c:pt idx="0">
                  <c:v>7.8</c:v>
                </c:pt>
                <c:pt idx="1">
                  <c:v>4.2</c:v>
                </c:pt>
                <c:pt idx="2">
                  <c:v>0.4</c:v>
                </c:pt>
                <c:pt idx="3">
                  <c:v>-0.1</c:v>
                </c:pt>
                <c:pt idx="4">
                  <c:v>-3.1</c:v>
                </c:pt>
                <c:pt idx="5">
                  <c:v>-4.5999999999999996</c:v>
                </c:pt>
                <c:pt idx="6">
                  <c:v>-3.8</c:v>
                </c:pt>
              </c:numCache>
            </c:numRef>
          </c:yVal>
          <c:smooth val="0"/>
        </c:ser>
        <c:dLbls>
          <c:dLblPos val="ctr"/>
          <c:showLegendKey val="0"/>
          <c:showVal val="1"/>
          <c:showCatName val="0"/>
          <c:showSerName val="0"/>
          <c:showPercent val="0"/>
          <c:showBubbleSize val="0"/>
        </c:dLbls>
        <c:axId val="-2053657680"/>
        <c:axId val="-2053662576"/>
      </c:scatterChart>
      <c:valAx>
        <c:axId val="-2053657680"/>
        <c:scaling>
          <c:orientation val="minMax"/>
          <c:max val="10"/>
          <c:min val="-1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r>
                  <a:rPr lang="en-US" b="1"/>
                  <a:t>Lower Turnout                                                                                             Higher Turnout</a:t>
                </a:r>
              </a:p>
            </c:rich>
          </c:tx>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title>
        <c:numFmt formatCode="General" sourceLinked="1"/>
        <c:majorTickMark val="out"/>
        <c:minorTickMark val="in"/>
        <c:tickLblPos val="nextTo"/>
        <c:spPr>
          <a:noFill/>
          <a:ln>
            <a:solidFill>
              <a:schemeClr val="dk1">
                <a:lumMod val="20000"/>
                <a:lumOff val="8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053662576"/>
        <c:crosses val="autoZero"/>
        <c:crossBetween val="midCat"/>
        <c:majorUnit val="5"/>
      </c:valAx>
      <c:valAx>
        <c:axId val="-2053662576"/>
        <c:scaling>
          <c:orientation val="minMax"/>
          <c:max val="20"/>
          <c:min val="-1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j-lt"/>
                    <a:ea typeface="+mn-ea"/>
                    <a:cs typeface="+mn-cs"/>
                  </a:defRPr>
                </a:pPr>
                <a:r>
                  <a:rPr lang="en-US" b="1"/>
                  <a:t>Less Favorable                                             More Favorable</a:t>
                </a:r>
              </a:p>
            </c:rich>
          </c:tx>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j-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05365768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mj-lt"/>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mj-lt"/>
                <a:ea typeface="+mn-ea"/>
                <a:cs typeface="+mn-cs"/>
              </a:defRPr>
            </a:pPr>
            <a:r>
              <a:rPr lang="en-US" sz="1100"/>
              <a:t>Cable Television</a:t>
            </a:r>
          </a:p>
        </c:rich>
      </c:tx>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j-lt"/>
              <a:ea typeface="+mn-ea"/>
              <a:cs typeface="+mn-cs"/>
            </a:defRPr>
          </a:pPr>
          <a:endParaRPr lang="en-US"/>
        </a:p>
      </c:txPr>
    </c:title>
    <c:autoTitleDeleted val="0"/>
    <c:plotArea>
      <c:layout/>
      <c:scatterChart>
        <c:scatterStyle val="lineMarker"/>
        <c:varyColors val="0"/>
        <c:ser>
          <c:idx val="0"/>
          <c:order val="0"/>
          <c:tx>
            <c:strRef>
              <c:f>Sheet1!$B$1</c:f>
              <c:strCache>
                <c:ptCount val="1"/>
                <c:pt idx="0">
                  <c:v>Abbott Favorability</c:v>
                </c:pt>
              </c:strCache>
            </c:strRef>
          </c:tx>
          <c:spPr>
            <a:ln w="25400" cap="rnd">
              <a:noFill/>
              <a:round/>
            </a:ln>
            <a:effectLst>
              <a:outerShdw blurRad="40000" dist="23000" dir="5400000" rotWithShape="0">
                <a:srgbClr val="000000">
                  <a:alpha val="35000"/>
                </a:srgbClr>
              </a:outerShdw>
            </a:effectLst>
          </c:spPr>
          <c:marker>
            <c:symbol val="circle"/>
            <c:size val="6"/>
            <c:spPr>
              <a:solidFill>
                <a:schemeClr val="tx1"/>
              </a:solidFill>
              <a:ln w="9525" cap="rnd">
                <a:solidFill>
                  <a:schemeClr val="accent1"/>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dLbl>
              <c:idx val="0"/>
              <c:layout>
                <c:manualLayout>
                  <c:x val="-0.12384018123024645"/>
                  <c:y val="7.0787654758589141E-2"/>
                </c:manualLayout>
              </c:layout>
              <c:tx>
                <c:rich>
                  <a:bodyPr/>
                  <a:lstStyle/>
                  <a:p>
                    <a:r>
                      <a:rPr lang="en-US" b="1"/>
                      <a:t>Targeted</a:t>
                    </a:r>
                  </a:p>
                </c:rich>
              </c:tx>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047284090237176"/>
                  <c:y val="-4.4919360964123856E-2"/>
                </c:manualLayout>
              </c:layout>
              <c:tx>
                <c:rich>
                  <a:bodyPr rot="0" spcFirstLastPara="1" vertOverflow="ellipsis" vert="horz" wrap="square" anchor="ctr" anchorCtr="1"/>
                  <a:lstStyle/>
                  <a:p>
                    <a:pPr>
                      <a:defRPr sz="900" b="1" i="0" u="none" strike="noStrike" kern="1200" baseline="0">
                        <a:solidFill>
                          <a:schemeClr val="tx1">
                            <a:lumMod val="75000"/>
                            <a:lumOff val="25000"/>
                          </a:schemeClr>
                        </a:solidFill>
                        <a:latin typeface="+mj-lt"/>
                        <a:ea typeface="+mn-ea"/>
                        <a:cs typeface="+mn-cs"/>
                      </a:defRPr>
                    </a:pPr>
                    <a:r>
                      <a:rPr lang="en-US" b="1"/>
                      <a:t>Traditional</a:t>
                    </a:r>
                  </a:p>
                </c:rich>
              </c:tx>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j-lt"/>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manualLayout>
                      <c:w val="0.24476234019134704"/>
                      <c:h val="0.11556270096463023"/>
                    </c:manualLayout>
                  </c15:layout>
                </c:ext>
              </c:extLst>
            </c:dLbl>
            <c:dLbl>
              <c:idx val="2"/>
              <c:layout>
                <c:manualLayout>
                  <c:x val="-8.298152986097164E-2"/>
                  <c:y val="4.506418208977897E-2"/>
                </c:manualLayout>
              </c:layout>
              <c:tx>
                <c:rich>
                  <a:bodyPr/>
                  <a:lstStyle/>
                  <a:p>
                    <a:r>
                      <a:rPr lang="en-US" b="1"/>
                      <a:t>None</a:t>
                    </a:r>
                  </a:p>
                </c:rich>
              </c:tx>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j-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Sheet1!$A$2:$A$4</c:f>
              <c:numCache>
                <c:formatCode>General</c:formatCode>
                <c:ptCount val="3"/>
                <c:pt idx="0">
                  <c:v>-0.7</c:v>
                </c:pt>
                <c:pt idx="1">
                  <c:v>0.3</c:v>
                </c:pt>
                <c:pt idx="2">
                  <c:v>0.6</c:v>
                </c:pt>
              </c:numCache>
            </c:numRef>
          </c:xVal>
          <c:yVal>
            <c:numRef>
              <c:f>Sheet1!$B$2:$B$4</c:f>
              <c:numCache>
                <c:formatCode>General</c:formatCode>
                <c:ptCount val="3"/>
                <c:pt idx="0">
                  <c:v>-3</c:v>
                </c:pt>
                <c:pt idx="1">
                  <c:v>2.6</c:v>
                </c:pt>
                <c:pt idx="2">
                  <c:v>1.6</c:v>
                </c:pt>
              </c:numCache>
            </c:numRef>
          </c:yVal>
          <c:smooth val="0"/>
        </c:ser>
        <c:dLbls>
          <c:dLblPos val="t"/>
          <c:showLegendKey val="0"/>
          <c:showVal val="1"/>
          <c:showCatName val="0"/>
          <c:showSerName val="0"/>
          <c:showPercent val="0"/>
          <c:showBubbleSize val="0"/>
        </c:dLbls>
        <c:axId val="-2054889712"/>
        <c:axId val="-2054889168"/>
      </c:scatterChart>
      <c:valAx>
        <c:axId val="-2054889712"/>
        <c:scaling>
          <c:orientation val="minMax"/>
          <c:max val="5"/>
          <c:min val="-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j-lt"/>
                    <a:ea typeface="+mn-ea"/>
                    <a:cs typeface="+mn-cs"/>
                  </a:defRPr>
                </a:pPr>
                <a:r>
                  <a:rPr lang="en-US" b="1"/>
                  <a:t>Lower Turnout                         Higher Turnout</a:t>
                </a:r>
              </a:p>
            </c:rich>
          </c:tx>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j-lt"/>
                  <a:ea typeface="+mn-ea"/>
                  <a:cs typeface="+mn-cs"/>
                </a:defRPr>
              </a:pPr>
              <a:endParaRPr lang="en-US"/>
            </a:p>
          </c:txPr>
        </c:title>
        <c:numFmt formatCode="General" sourceLinked="1"/>
        <c:majorTickMark val="in"/>
        <c:minorTickMark val="in"/>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054889168"/>
        <c:crosses val="autoZero"/>
        <c:crossBetween val="midCat"/>
        <c:majorUnit val="5"/>
      </c:valAx>
      <c:valAx>
        <c:axId val="-2054889168"/>
        <c:scaling>
          <c:orientation val="minMax"/>
          <c:max val="15"/>
          <c:min val="-1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j-lt"/>
                    <a:ea typeface="+mn-ea"/>
                    <a:cs typeface="+mn-cs"/>
                  </a:defRPr>
                </a:pPr>
                <a:r>
                  <a:rPr lang="en-US" b="1"/>
                  <a:t>Less Fav.        More Fav.</a:t>
                </a:r>
              </a:p>
            </c:rich>
          </c:tx>
          <c:layout>
            <c:manualLayout>
              <c:xMode val="edge"/>
              <c:yMode val="edge"/>
              <c:x val="4.7311827956989246E-2"/>
              <c:y val="0.2428295819935691"/>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j-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054889712"/>
        <c:crosses val="autoZero"/>
        <c:crossBetween val="midCat"/>
        <c:maj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mj-lt"/>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mj-lt"/>
                <a:ea typeface="+mn-ea"/>
                <a:cs typeface="+mn-cs"/>
              </a:defRPr>
            </a:pPr>
            <a:r>
              <a:rPr lang="en-US" sz="1100"/>
              <a:t>Radio</a:t>
            </a:r>
          </a:p>
        </c:rich>
      </c:tx>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j-lt"/>
              <a:ea typeface="+mn-ea"/>
              <a:cs typeface="+mn-cs"/>
            </a:defRPr>
          </a:pPr>
          <a:endParaRPr lang="en-US"/>
        </a:p>
      </c:txPr>
    </c:title>
    <c:autoTitleDeleted val="0"/>
    <c:plotArea>
      <c:layout/>
      <c:scatterChart>
        <c:scatterStyle val="lineMarker"/>
        <c:varyColors val="0"/>
        <c:ser>
          <c:idx val="0"/>
          <c:order val="0"/>
          <c:tx>
            <c:strRef>
              <c:f>Sheet1!$B$1</c:f>
              <c:strCache>
                <c:ptCount val="1"/>
                <c:pt idx="0">
                  <c:v>Abbott Favorability</c:v>
                </c:pt>
              </c:strCache>
            </c:strRef>
          </c:tx>
          <c:spPr>
            <a:ln w="25400" cap="rnd">
              <a:noFill/>
              <a:round/>
            </a:ln>
            <a:effectLst>
              <a:outerShdw blurRad="40000" dist="23000" dir="5400000" rotWithShape="0">
                <a:srgbClr val="000000">
                  <a:alpha val="35000"/>
                </a:srgbClr>
              </a:outerShdw>
            </a:effectLst>
          </c:spPr>
          <c:marker>
            <c:symbol val="circle"/>
            <c:size val="6"/>
            <c:spPr>
              <a:solidFill>
                <a:schemeClr val="tx1"/>
              </a:solidFill>
              <a:ln w="9525" cap="rnd">
                <a:solidFill>
                  <a:schemeClr val="accent1"/>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dLbl>
              <c:idx val="0"/>
              <c:layout>
                <c:manualLayout>
                  <c:x val="-0.25506181636797665"/>
                  <c:y val="0.180112413601033"/>
                </c:manualLayout>
              </c:layout>
              <c:tx>
                <c:rich>
                  <a:bodyPr/>
                  <a:lstStyle/>
                  <a:p>
                    <a:r>
                      <a:rPr lang="en-US" b="1"/>
                      <a:t>None</a:t>
                    </a:r>
                  </a:p>
                </c:rich>
              </c:tx>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9519720668400614E-2"/>
                  <c:y val="-0.18639846064258045"/>
                </c:manualLayout>
              </c:layout>
              <c:tx>
                <c:rich>
                  <a:bodyPr/>
                  <a:lstStyle/>
                  <a:p>
                    <a:r>
                      <a:rPr lang="en-US"/>
                      <a:t>Radio</a:t>
                    </a:r>
                  </a:p>
                </c:rich>
              </c:tx>
              <c:dLblPos val="r"/>
              <c:showLegendKey val="0"/>
              <c:showVal val="1"/>
              <c:showCatName val="0"/>
              <c:showSerName val="0"/>
              <c:showPercent val="0"/>
              <c:showBubbleSize val="0"/>
              <c:extLst>
                <c:ext xmlns:c15="http://schemas.microsoft.com/office/drawing/2012/chart" uri="{CE6537A1-D6FC-4f65-9D91-7224C49458BB}">
                  <c15:layout>
                    <c:manualLayout>
                      <c:w val="0.21895573378153718"/>
                      <c:h val="0.11556270096463023"/>
                    </c:manualLayout>
                  </c15:layout>
                </c:ext>
              </c:extLst>
            </c:dLbl>
            <c:dLbl>
              <c:idx val="2"/>
              <c:layout>
                <c:manualLayout>
                  <c:x val="-8.298152986097164E-2"/>
                  <c:y val="4.506418208977897E-2"/>
                </c:manualLayout>
              </c:layout>
              <c:tx>
                <c:rich>
                  <a:bodyPr/>
                  <a:lstStyle/>
                  <a:p>
                    <a:r>
                      <a:rPr lang="en-US" b="1"/>
                      <a:t>None</a:t>
                    </a:r>
                  </a:p>
                </c:rich>
              </c:tx>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j-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Sheet1!$A$2:$A$3</c:f>
              <c:numCache>
                <c:formatCode>General</c:formatCode>
                <c:ptCount val="2"/>
                <c:pt idx="0">
                  <c:v>1</c:v>
                </c:pt>
                <c:pt idx="1">
                  <c:v>-1.1000000000000001</c:v>
                </c:pt>
              </c:numCache>
            </c:numRef>
          </c:xVal>
          <c:yVal>
            <c:numRef>
              <c:f>Sheet1!$B$2:$B$3</c:f>
              <c:numCache>
                <c:formatCode>General</c:formatCode>
                <c:ptCount val="2"/>
                <c:pt idx="0">
                  <c:v>2.2999999999999998</c:v>
                </c:pt>
                <c:pt idx="1">
                  <c:v>-4.5999999999999996</c:v>
                </c:pt>
              </c:numCache>
            </c:numRef>
          </c:yVal>
          <c:smooth val="0"/>
        </c:ser>
        <c:dLbls>
          <c:dLblPos val="t"/>
          <c:showLegendKey val="0"/>
          <c:showVal val="1"/>
          <c:showCatName val="0"/>
          <c:showSerName val="0"/>
          <c:showPercent val="0"/>
          <c:showBubbleSize val="0"/>
        </c:dLbls>
        <c:axId val="-2054896784"/>
        <c:axId val="-2054888624"/>
      </c:scatterChart>
      <c:valAx>
        <c:axId val="-2054896784"/>
        <c:scaling>
          <c:orientation val="minMax"/>
          <c:max val="5"/>
          <c:min val="-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j-lt"/>
                    <a:ea typeface="+mn-ea"/>
                    <a:cs typeface="+mn-cs"/>
                  </a:defRPr>
                </a:pPr>
                <a:r>
                  <a:rPr lang="en-US" b="1"/>
                  <a:t>Lower Turnout                    Higher Turnout</a:t>
                </a:r>
              </a:p>
            </c:rich>
          </c:tx>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j-lt"/>
                  <a:ea typeface="+mn-ea"/>
                  <a:cs typeface="+mn-cs"/>
                </a:defRPr>
              </a:pPr>
              <a:endParaRPr lang="en-US"/>
            </a:p>
          </c:txPr>
        </c:title>
        <c:numFmt formatCode="General" sourceLinked="1"/>
        <c:majorTickMark val="in"/>
        <c:minorTickMark val="in"/>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054888624"/>
        <c:crosses val="autoZero"/>
        <c:crossBetween val="midCat"/>
        <c:majorUnit val="5"/>
      </c:valAx>
      <c:valAx>
        <c:axId val="-2054888624"/>
        <c:scaling>
          <c:orientation val="minMax"/>
          <c:max val="15"/>
          <c:min val="-1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j-lt"/>
                    <a:ea typeface="+mn-ea"/>
                    <a:cs typeface="+mn-cs"/>
                  </a:defRPr>
                </a:pPr>
                <a:r>
                  <a:rPr lang="en-US" b="1"/>
                  <a:t>Less Fav.        More Fav.</a:t>
                </a:r>
              </a:p>
            </c:rich>
          </c:tx>
          <c:layout>
            <c:manualLayout>
              <c:xMode val="edge"/>
              <c:yMode val="edge"/>
              <c:x val="4.9773755656108594E-2"/>
              <c:y val="0.22996784565916398"/>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j-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054896784"/>
        <c:crosses val="autoZero"/>
        <c:crossBetween val="midCat"/>
        <c:maj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mj-lt"/>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mj-lt"/>
                <a:ea typeface="+mn-ea"/>
                <a:cs typeface="+mn-cs"/>
              </a:defRPr>
            </a:pPr>
            <a:r>
              <a:rPr lang="en-US" sz="1100"/>
              <a:t>Mail</a:t>
            </a:r>
          </a:p>
        </c:rich>
      </c:tx>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j-lt"/>
              <a:ea typeface="+mn-ea"/>
              <a:cs typeface="+mn-cs"/>
            </a:defRPr>
          </a:pPr>
          <a:endParaRPr lang="en-US"/>
        </a:p>
      </c:txPr>
    </c:title>
    <c:autoTitleDeleted val="0"/>
    <c:plotArea>
      <c:layout/>
      <c:scatterChart>
        <c:scatterStyle val="lineMarker"/>
        <c:varyColors val="0"/>
        <c:ser>
          <c:idx val="0"/>
          <c:order val="0"/>
          <c:tx>
            <c:strRef>
              <c:f>Sheet1!$B$1</c:f>
              <c:strCache>
                <c:ptCount val="1"/>
                <c:pt idx="0">
                  <c:v>Abbott Favorability</c:v>
                </c:pt>
              </c:strCache>
            </c:strRef>
          </c:tx>
          <c:spPr>
            <a:ln w="25400" cap="rnd">
              <a:noFill/>
              <a:round/>
            </a:ln>
            <a:effectLst>
              <a:outerShdw blurRad="40000" dist="23000" dir="5400000" rotWithShape="0">
                <a:srgbClr val="000000">
                  <a:alpha val="35000"/>
                </a:srgbClr>
              </a:outerShdw>
            </a:effectLst>
          </c:spPr>
          <c:marker>
            <c:symbol val="circle"/>
            <c:size val="6"/>
            <c:spPr>
              <a:solidFill>
                <a:schemeClr val="tx1"/>
              </a:solidFill>
              <a:ln w="9525" cap="rnd">
                <a:solidFill>
                  <a:schemeClr val="accent1"/>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dLbl>
              <c:idx val="0"/>
              <c:layout>
                <c:manualLayout>
                  <c:x val="-0.12384007074709621"/>
                  <c:y val="0.1286654682634123"/>
                </c:manualLayout>
              </c:layout>
              <c:tx>
                <c:rich>
                  <a:bodyPr/>
                  <a:lstStyle/>
                  <a:p>
                    <a:r>
                      <a:rPr lang="en-US" b="1"/>
                      <a:t>None</a:t>
                    </a:r>
                  </a:p>
                </c:rich>
              </c:tx>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9.7458376558221801E-2"/>
                  <c:y val="-0.12852064713775729"/>
                </c:manualLayout>
              </c:layout>
              <c:tx>
                <c:rich>
                  <a:bodyPr/>
                  <a:lstStyle/>
                  <a:p>
                    <a:r>
                      <a:rPr lang="en-US"/>
                      <a:t>Mail</a:t>
                    </a:r>
                  </a:p>
                </c:rich>
              </c:tx>
              <c:dLblPos val="r"/>
              <c:showLegendKey val="0"/>
              <c:showVal val="1"/>
              <c:showCatName val="0"/>
              <c:showSerName val="0"/>
              <c:showPercent val="0"/>
              <c:showBubbleSize val="0"/>
              <c:extLst>
                <c:ext xmlns:c15="http://schemas.microsoft.com/office/drawing/2012/chart" uri="{CE6537A1-D6FC-4f65-9D91-7224C49458BB}">
                  <c15:layout>
                    <c:manualLayout>
                      <c:w val="0.21895573378153718"/>
                      <c:h val="0.11556270096463023"/>
                    </c:manualLayout>
                  </c15:layout>
                </c:ext>
              </c:extLst>
            </c:dLbl>
            <c:dLbl>
              <c:idx val="2"/>
              <c:layout>
                <c:manualLayout>
                  <c:x val="-8.298152986097164E-2"/>
                  <c:y val="4.506418208977897E-2"/>
                </c:manualLayout>
              </c:layout>
              <c:tx>
                <c:rich>
                  <a:bodyPr/>
                  <a:lstStyle/>
                  <a:p>
                    <a:r>
                      <a:rPr lang="en-US" b="1"/>
                      <a:t>None</a:t>
                    </a:r>
                  </a:p>
                </c:rich>
              </c:tx>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j-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Sheet1!$A$2:$A$3</c:f>
              <c:numCache>
                <c:formatCode>General</c:formatCode>
                <c:ptCount val="2"/>
                <c:pt idx="0">
                  <c:v>0.2</c:v>
                </c:pt>
                <c:pt idx="1">
                  <c:v>-0.2</c:v>
                </c:pt>
              </c:numCache>
            </c:numRef>
          </c:xVal>
          <c:yVal>
            <c:numRef>
              <c:f>Sheet1!$B$2:$B$3</c:f>
              <c:numCache>
                <c:formatCode>General</c:formatCode>
                <c:ptCount val="2"/>
                <c:pt idx="0">
                  <c:v>2.2999999999999998</c:v>
                </c:pt>
                <c:pt idx="1">
                  <c:v>-1.4</c:v>
                </c:pt>
              </c:numCache>
            </c:numRef>
          </c:yVal>
          <c:smooth val="0"/>
        </c:ser>
        <c:dLbls>
          <c:dLblPos val="t"/>
          <c:showLegendKey val="0"/>
          <c:showVal val="1"/>
          <c:showCatName val="0"/>
          <c:showSerName val="0"/>
          <c:showPercent val="0"/>
          <c:showBubbleSize val="0"/>
        </c:dLbls>
        <c:axId val="-2054883184"/>
        <c:axId val="-2054888080"/>
      </c:scatterChart>
      <c:valAx>
        <c:axId val="-2054883184"/>
        <c:scaling>
          <c:orientation val="minMax"/>
          <c:max val="5"/>
          <c:min val="-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j-lt"/>
                    <a:ea typeface="+mn-ea"/>
                    <a:cs typeface="+mn-cs"/>
                  </a:defRPr>
                </a:pPr>
                <a:r>
                  <a:rPr lang="en-US" b="1"/>
                  <a:t>Lower Turnout                        Higher Turnout</a:t>
                </a:r>
              </a:p>
            </c:rich>
          </c:tx>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j-lt"/>
                  <a:ea typeface="+mn-ea"/>
                  <a:cs typeface="+mn-cs"/>
                </a:defRPr>
              </a:pPr>
              <a:endParaRPr lang="en-US"/>
            </a:p>
          </c:txPr>
        </c:title>
        <c:numFmt formatCode="General" sourceLinked="1"/>
        <c:majorTickMark val="in"/>
        <c:minorTickMark val="in"/>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054888080"/>
        <c:crosses val="autoZero"/>
        <c:crossBetween val="midCat"/>
        <c:majorUnit val="5"/>
      </c:valAx>
      <c:valAx>
        <c:axId val="-2054888080"/>
        <c:scaling>
          <c:orientation val="minMax"/>
          <c:max val="15"/>
          <c:min val="-1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j-lt"/>
                    <a:ea typeface="+mn-ea"/>
                    <a:cs typeface="+mn-cs"/>
                  </a:defRPr>
                </a:pPr>
                <a:r>
                  <a:rPr lang="en-US" b="1"/>
                  <a:t>Less</a:t>
                </a:r>
                <a:r>
                  <a:rPr lang="en-US" b="1" baseline="0"/>
                  <a:t> Fav.         More Fav.</a:t>
                </a:r>
                <a:endParaRPr lang="en-US" b="1"/>
              </a:p>
            </c:rich>
          </c:tx>
          <c:layout>
            <c:manualLayout>
              <c:xMode val="edge"/>
              <c:yMode val="edge"/>
              <c:x val="4.7516198704103674E-2"/>
              <c:y val="0.23639871382636657"/>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j-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054883184"/>
        <c:crosses val="autoZero"/>
        <c:crossBetween val="midCat"/>
        <c:maj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mj-lt"/>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mj-lt"/>
                <a:ea typeface="+mn-ea"/>
                <a:cs typeface="+mn-cs"/>
              </a:defRPr>
            </a:pPr>
            <a:r>
              <a:rPr lang="en-US" sz="1100"/>
              <a:t>Internet</a:t>
            </a:r>
          </a:p>
        </c:rich>
      </c:tx>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j-lt"/>
              <a:ea typeface="+mn-ea"/>
              <a:cs typeface="+mn-cs"/>
            </a:defRPr>
          </a:pPr>
          <a:endParaRPr lang="en-US"/>
        </a:p>
      </c:txPr>
    </c:title>
    <c:autoTitleDeleted val="0"/>
    <c:plotArea>
      <c:layout/>
      <c:scatterChart>
        <c:scatterStyle val="lineMarker"/>
        <c:varyColors val="0"/>
        <c:ser>
          <c:idx val="0"/>
          <c:order val="0"/>
          <c:tx>
            <c:strRef>
              <c:f>Sheet1!$B$1</c:f>
              <c:strCache>
                <c:ptCount val="1"/>
                <c:pt idx="0">
                  <c:v>Abbott Favorability</c:v>
                </c:pt>
              </c:strCache>
            </c:strRef>
          </c:tx>
          <c:spPr>
            <a:ln w="25400" cap="rnd">
              <a:noFill/>
              <a:round/>
            </a:ln>
            <a:effectLst>
              <a:outerShdw blurRad="40000" dist="23000" dir="5400000" rotWithShape="0">
                <a:srgbClr val="000000">
                  <a:alpha val="35000"/>
                </a:srgbClr>
              </a:outerShdw>
            </a:effectLst>
          </c:spPr>
          <c:marker>
            <c:symbol val="circle"/>
            <c:size val="6"/>
            <c:spPr>
              <a:solidFill>
                <a:schemeClr val="tx1"/>
              </a:solidFill>
              <a:ln w="9525" cap="rnd">
                <a:solidFill>
                  <a:schemeClr val="accent1"/>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dLbl>
              <c:idx val="0"/>
              <c:layout>
                <c:manualLayout>
                  <c:x val="-0.12384007074709621"/>
                  <c:y val="0.1286654682634123"/>
                </c:manualLayout>
              </c:layout>
              <c:tx>
                <c:rich>
                  <a:bodyPr/>
                  <a:lstStyle/>
                  <a:p>
                    <a:r>
                      <a:rPr lang="en-US" b="1"/>
                      <a:t>None</a:t>
                    </a:r>
                  </a:p>
                </c:rich>
              </c:tx>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6305831596266379E-2"/>
                  <c:y val="-0.12530521305415601"/>
                </c:manualLayout>
              </c:layout>
              <c:tx>
                <c:rich>
                  <a:bodyPr rot="0" spcFirstLastPara="1" vertOverflow="ellipsis" vert="horz" wrap="square" anchor="ctr" anchorCtr="1"/>
                  <a:lstStyle/>
                  <a:p>
                    <a:pPr>
                      <a:defRPr sz="900" b="1" i="0" u="none" strike="noStrike" kern="1200" baseline="0">
                        <a:solidFill>
                          <a:schemeClr val="tx1">
                            <a:lumMod val="75000"/>
                            <a:lumOff val="25000"/>
                          </a:schemeClr>
                        </a:solidFill>
                        <a:latin typeface="+mj-lt"/>
                        <a:ea typeface="+mn-ea"/>
                        <a:cs typeface="+mn-cs"/>
                      </a:defRPr>
                    </a:pPr>
                    <a:r>
                      <a:rPr lang="en-US" b="1"/>
                      <a:t>Internet</a:t>
                    </a:r>
                  </a:p>
                </c:rich>
              </c:tx>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j-lt"/>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manualLayout>
                      <c:w val="0.28126082370544803"/>
                      <c:h val="0.12199356913183279"/>
                    </c:manualLayout>
                  </c15:layout>
                </c:ext>
              </c:extLst>
            </c:dLbl>
            <c:dLbl>
              <c:idx val="2"/>
              <c:layout>
                <c:manualLayout>
                  <c:x val="-8.298152986097164E-2"/>
                  <c:y val="4.506418208977897E-2"/>
                </c:manualLayout>
              </c:layout>
              <c:tx>
                <c:rich>
                  <a:bodyPr/>
                  <a:lstStyle/>
                  <a:p>
                    <a:r>
                      <a:rPr lang="en-US" b="1"/>
                      <a:t>None</a:t>
                    </a:r>
                  </a:p>
                </c:rich>
              </c:tx>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j-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Sheet1!$A$2:$A$3</c:f>
              <c:numCache>
                <c:formatCode>General</c:formatCode>
                <c:ptCount val="2"/>
                <c:pt idx="0">
                  <c:v>0.2</c:v>
                </c:pt>
                <c:pt idx="1">
                  <c:v>-0.2</c:v>
                </c:pt>
              </c:numCache>
            </c:numRef>
          </c:xVal>
          <c:yVal>
            <c:numRef>
              <c:f>Sheet1!$B$2:$B$3</c:f>
              <c:numCache>
                <c:formatCode>General</c:formatCode>
                <c:ptCount val="2"/>
                <c:pt idx="0">
                  <c:v>1.1000000000000001</c:v>
                </c:pt>
                <c:pt idx="1">
                  <c:v>-2.2999999999999998</c:v>
                </c:pt>
              </c:numCache>
            </c:numRef>
          </c:yVal>
          <c:smooth val="0"/>
        </c:ser>
        <c:dLbls>
          <c:dLblPos val="t"/>
          <c:showLegendKey val="0"/>
          <c:showVal val="1"/>
          <c:showCatName val="0"/>
          <c:showSerName val="0"/>
          <c:showPercent val="0"/>
          <c:showBubbleSize val="0"/>
        </c:dLbls>
        <c:axId val="-2054894064"/>
        <c:axId val="-2054893520"/>
      </c:scatterChart>
      <c:valAx>
        <c:axId val="-2054894064"/>
        <c:scaling>
          <c:orientation val="minMax"/>
          <c:max val="5"/>
          <c:min val="-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j-lt"/>
                    <a:ea typeface="+mn-ea"/>
                    <a:cs typeface="+mn-cs"/>
                  </a:defRPr>
                </a:pPr>
                <a:r>
                  <a:rPr lang="en-US" b="1"/>
                  <a:t>Lower T.O.               Higher T.O.</a:t>
                </a:r>
                <a:r>
                  <a:rPr lang="en-US" b="1" baseline="0"/>
                  <a:t> </a:t>
                </a:r>
                <a:endParaRPr lang="en-US" b="1"/>
              </a:p>
            </c:rich>
          </c:tx>
          <c:layout>
            <c:manualLayout>
              <c:xMode val="edge"/>
              <c:yMode val="edge"/>
              <c:x val="0.13925969534182059"/>
              <c:y val="0.85787781350482317"/>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j-lt"/>
                  <a:ea typeface="+mn-ea"/>
                  <a:cs typeface="+mn-cs"/>
                </a:defRPr>
              </a:pPr>
              <a:endParaRPr lang="en-US"/>
            </a:p>
          </c:txPr>
        </c:title>
        <c:numFmt formatCode="General" sourceLinked="1"/>
        <c:majorTickMark val="in"/>
        <c:minorTickMark val="in"/>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054893520"/>
        <c:crosses val="autoZero"/>
        <c:crossBetween val="midCat"/>
        <c:majorUnit val="5"/>
      </c:valAx>
      <c:valAx>
        <c:axId val="-2054893520"/>
        <c:scaling>
          <c:orientation val="minMax"/>
          <c:max val="15"/>
          <c:min val="-1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j-lt"/>
                    <a:ea typeface="+mn-ea"/>
                    <a:cs typeface="+mn-cs"/>
                  </a:defRPr>
                </a:pPr>
                <a:r>
                  <a:rPr lang="en-US" b="1"/>
                  <a:t>Less Fav.      More Fav.</a:t>
                </a:r>
              </a:p>
            </c:rich>
          </c:tx>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j-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054894064"/>
        <c:crosses val="autoZero"/>
        <c:crossBetween val="midCat"/>
        <c:maj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mj-lt"/>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mj-lt"/>
                <a:ea typeface="+mn-ea"/>
                <a:cs typeface="+mn-cs"/>
              </a:defRPr>
            </a:pPr>
            <a:r>
              <a:rPr lang="en-US" sz="1100"/>
              <a:t>Facebook</a:t>
            </a:r>
          </a:p>
        </c:rich>
      </c:tx>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j-lt"/>
              <a:ea typeface="+mn-ea"/>
              <a:cs typeface="+mn-cs"/>
            </a:defRPr>
          </a:pPr>
          <a:endParaRPr lang="en-US"/>
        </a:p>
      </c:txPr>
    </c:title>
    <c:autoTitleDeleted val="0"/>
    <c:plotArea>
      <c:layout/>
      <c:scatterChart>
        <c:scatterStyle val="lineMarker"/>
        <c:varyColors val="0"/>
        <c:ser>
          <c:idx val="0"/>
          <c:order val="0"/>
          <c:tx>
            <c:strRef>
              <c:f>Sheet1!$B$1</c:f>
              <c:strCache>
                <c:ptCount val="1"/>
                <c:pt idx="0">
                  <c:v>Abbott Favorability</c:v>
                </c:pt>
              </c:strCache>
            </c:strRef>
          </c:tx>
          <c:spPr>
            <a:ln w="25400" cap="rnd">
              <a:noFill/>
              <a:round/>
            </a:ln>
            <a:effectLst>
              <a:outerShdw blurRad="40000" dist="23000" dir="5400000" rotWithShape="0">
                <a:srgbClr val="000000">
                  <a:alpha val="35000"/>
                </a:srgbClr>
              </a:outerShdw>
            </a:effectLst>
          </c:spPr>
          <c:marker>
            <c:symbol val="circle"/>
            <c:size val="6"/>
            <c:spPr>
              <a:solidFill>
                <a:schemeClr val="tx1"/>
              </a:solidFill>
              <a:ln w="9525" cap="rnd">
                <a:solidFill>
                  <a:schemeClr val="accent1"/>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dLbl>
              <c:idx val="0"/>
              <c:layout>
                <c:manualLayout>
                  <c:x val="-0.11145608346944243"/>
                  <c:y val="-0.12213839025748791"/>
                </c:manualLayout>
              </c:layout>
              <c:tx>
                <c:rich>
                  <a:bodyPr/>
                  <a:lstStyle/>
                  <a:p>
                    <a:r>
                      <a:rPr lang="en-US" b="1"/>
                      <a:t>None</a:t>
                    </a:r>
                  </a:p>
                </c:rich>
              </c:tx>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4699422247141708"/>
                  <c:y val="0.11585234321594033"/>
                </c:manualLayout>
              </c:layout>
              <c:tx>
                <c:rich>
                  <a:bodyPr/>
                  <a:lstStyle/>
                  <a:p>
                    <a:r>
                      <a:rPr lang="en-US"/>
                      <a:t>Facebook</a:t>
                    </a:r>
                  </a:p>
                </c:rich>
              </c:tx>
              <c:dLblPos val="r"/>
              <c:showLegendKey val="0"/>
              <c:showVal val="1"/>
              <c:showCatName val="0"/>
              <c:showSerName val="0"/>
              <c:showPercent val="0"/>
              <c:showBubbleSize val="0"/>
              <c:extLst>
                <c:ext xmlns:c15="http://schemas.microsoft.com/office/drawing/2012/chart" uri="{CE6537A1-D6FC-4f65-9D91-7224C49458BB}">
                  <c15:layout>
                    <c:manualLayout>
                      <c:w val="0.30564296336023006"/>
                      <c:h val="0.11556270096463023"/>
                    </c:manualLayout>
                  </c15:layout>
                </c:ext>
              </c:extLst>
            </c:dLbl>
            <c:dLbl>
              <c:idx val="2"/>
              <c:layout>
                <c:manualLayout>
                  <c:x val="-8.298152986097164E-2"/>
                  <c:y val="4.506418208977897E-2"/>
                </c:manualLayout>
              </c:layout>
              <c:tx>
                <c:rich>
                  <a:bodyPr/>
                  <a:lstStyle/>
                  <a:p>
                    <a:r>
                      <a:rPr lang="en-US" b="1"/>
                      <a:t>None</a:t>
                    </a:r>
                  </a:p>
                </c:rich>
              </c:tx>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j-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Sheet1!$A$2:$A$3</c:f>
              <c:numCache>
                <c:formatCode>General</c:formatCode>
                <c:ptCount val="2"/>
                <c:pt idx="0">
                  <c:v>0</c:v>
                </c:pt>
                <c:pt idx="1">
                  <c:v>0</c:v>
                </c:pt>
              </c:numCache>
            </c:numRef>
          </c:xVal>
          <c:yVal>
            <c:numRef>
              <c:f>Sheet1!$B$2:$B$3</c:f>
              <c:numCache>
                <c:formatCode>General</c:formatCode>
                <c:ptCount val="2"/>
                <c:pt idx="0">
                  <c:v>-1.6</c:v>
                </c:pt>
                <c:pt idx="1">
                  <c:v>1.2</c:v>
                </c:pt>
              </c:numCache>
            </c:numRef>
          </c:yVal>
          <c:smooth val="0"/>
        </c:ser>
        <c:dLbls>
          <c:dLblPos val="t"/>
          <c:showLegendKey val="0"/>
          <c:showVal val="1"/>
          <c:showCatName val="0"/>
          <c:showSerName val="0"/>
          <c:showPercent val="0"/>
          <c:showBubbleSize val="0"/>
        </c:dLbls>
        <c:axId val="-2054892976"/>
        <c:axId val="-2054892432"/>
      </c:scatterChart>
      <c:valAx>
        <c:axId val="-2054892976"/>
        <c:scaling>
          <c:orientation val="minMax"/>
          <c:max val="5"/>
          <c:min val="-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r>
                  <a:rPr lang="en-US" sz="900" b="1" i="0" baseline="0">
                    <a:effectLst/>
                  </a:rPr>
                  <a:t>Lower T.O.               Higher T.O. </a:t>
                </a:r>
                <a:endParaRPr lang="en-US" sz="900">
                  <a:effectLst/>
                </a:endParaRPr>
              </a:p>
            </c:rich>
          </c:tx>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title>
        <c:numFmt formatCode="General" sourceLinked="1"/>
        <c:majorTickMark val="in"/>
        <c:minorTickMark val="in"/>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054892432"/>
        <c:crosses val="autoZero"/>
        <c:crossBetween val="midCat"/>
        <c:majorUnit val="5"/>
      </c:valAx>
      <c:valAx>
        <c:axId val="-2054892432"/>
        <c:scaling>
          <c:orientation val="minMax"/>
          <c:max val="15"/>
          <c:min val="-1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j-lt"/>
                    <a:ea typeface="+mn-ea"/>
                    <a:cs typeface="+mn-cs"/>
                  </a:defRPr>
                </a:pPr>
                <a:r>
                  <a:rPr lang="en-US" b="1"/>
                  <a:t>Less Fav.            More Fav.</a:t>
                </a:r>
              </a:p>
            </c:rich>
          </c:tx>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j-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054892976"/>
        <c:crosses val="autoZero"/>
        <c:crossBetween val="midCat"/>
        <c:maj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mj-lt"/>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mj-lt"/>
                <a:ea typeface="+mn-ea"/>
                <a:cs typeface="+mn-cs"/>
              </a:defRPr>
            </a:pPr>
            <a:r>
              <a:rPr lang="en-US" sz="1100"/>
              <a:t>Pre-Roll</a:t>
            </a:r>
          </a:p>
        </c:rich>
      </c:tx>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j-lt"/>
              <a:ea typeface="+mn-ea"/>
              <a:cs typeface="+mn-cs"/>
            </a:defRPr>
          </a:pPr>
          <a:endParaRPr lang="en-US"/>
        </a:p>
      </c:txPr>
    </c:title>
    <c:autoTitleDeleted val="0"/>
    <c:plotArea>
      <c:layout/>
      <c:scatterChart>
        <c:scatterStyle val="lineMarker"/>
        <c:varyColors val="0"/>
        <c:ser>
          <c:idx val="0"/>
          <c:order val="0"/>
          <c:tx>
            <c:strRef>
              <c:f>Sheet1!$B$1</c:f>
              <c:strCache>
                <c:ptCount val="1"/>
                <c:pt idx="0">
                  <c:v>Abbott Favorability</c:v>
                </c:pt>
              </c:strCache>
            </c:strRef>
          </c:tx>
          <c:spPr>
            <a:ln w="25400" cap="rnd">
              <a:noFill/>
              <a:round/>
            </a:ln>
            <a:effectLst>
              <a:outerShdw blurRad="40000" dist="23000" dir="5400000" rotWithShape="0">
                <a:srgbClr val="000000">
                  <a:alpha val="35000"/>
                </a:srgbClr>
              </a:outerShdw>
            </a:effectLst>
          </c:spPr>
          <c:marker>
            <c:symbol val="circle"/>
            <c:size val="6"/>
            <c:spPr>
              <a:solidFill>
                <a:schemeClr val="tx1"/>
              </a:solidFill>
              <a:ln w="9525" cap="rnd">
                <a:solidFill>
                  <a:schemeClr val="accent1"/>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dLbl>
              <c:idx val="0"/>
              <c:layout>
                <c:manualLayout>
                  <c:x val="-0.11137881129344814"/>
                  <c:y val="-0.13500012659189306"/>
                </c:manualLayout>
              </c:layout>
              <c:tx>
                <c:rich>
                  <a:bodyPr/>
                  <a:lstStyle/>
                  <a:p>
                    <a:r>
                      <a:rPr lang="en-US" b="1"/>
                      <a:t>None</a:t>
                    </a:r>
                  </a:p>
                </c:rich>
              </c:tx>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448509485782529"/>
                  <c:y val="0.11585225308579006"/>
                </c:manualLayout>
              </c:layout>
              <c:tx>
                <c:rich>
                  <a:bodyPr/>
                  <a:lstStyle/>
                  <a:p>
                    <a:r>
                      <a:rPr lang="en-US"/>
                      <a:t>Pre-Roll</a:t>
                    </a:r>
                  </a:p>
                </c:rich>
              </c:tx>
              <c:dLblPos val="r"/>
              <c:showLegendKey val="0"/>
              <c:showVal val="1"/>
              <c:showCatName val="0"/>
              <c:showSerName val="0"/>
              <c:showPercent val="0"/>
              <c:showBubbleSize val="0"/>
              <c:extLst>
                <c:ext xmlns:c15="http://schemas.microsoft.com/office/drawing/2012/chart" uri="{CE6537A1-D6FC-4f65-9D91-7224C49458BB}">
                  <c15:layout>
                    <c:manualLayout>
                      <c:w val="0.30951289709475971"/>
                      <c:h val="0.11556252070432942"/>
                    </c:manualLayout>
                  </c15:layout>
                </c:ext>
              </c:extLst>
            </c:dLbl>
            <c:dLbl>
              <c:idx val="2"/>
              <c:layout>
                <c:manualLayout>
                  <c:x val="-8.298152986097164E-2"/>
                  <c:y val="4.506418208977897E-2"/>
                </c:manualLayout>
              </c:layout>
              <c:tx>
                <c:rich>
                  <a:bodyPr/>
                  <a:lstStyle/>
                  <a:p>
                    <a:r>
                      <a:rPr lang="en-US" b="1"/>
                      <a:t>None</a:t>
                    </a:r>
                  </a:p>
                </c:rich>
              </c:tx>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j-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Sheet1!$A$2:$A$3</c:f>
              <c:numCache>
                <c:formatCode>General</c:formatCode>
                <c:ptCount val="2"/>
                <c:pt idx="0">
                  <c:v>0</c:v>
                </c:pt>
                <c:pt idx="1">
                  <c:v>0</c:v>
                </c:pt>
              </c:numCache>
            </c:numRef>
          </c:xVal>
          <c:yVal>
            <c:numRef>
              <c:f>Sheet1!$B$2:$B$3</c:f>
              <c:numCache>
                <c:formatCode>General</c:formatCode>
                <c:ptCount val="2"/>
                <c:pt idx="0">
                  <c:v>-1.5</c:v>
                </c:pt>
                <c:pt idx="1">
                  <c:v>1.7</c:v>
                </c:pt>
              </c:numCache>
            </c:numRef>
          </c:yVal>
          <c:smooth val="0"/>
        </c:ser>
        <c:dLbls>
          <c:dLblPos val="t"/>
          <c:showLegendKey val="0"/>
          <c:showVal val="1"/>
          <c:showCatName val="0"/>
          <c:showSerName val="0"/>
          <c:showPercent val="0"/>
          <c:showBubbleSize val="0"/>
        </c:dLbls>
        <c:axId val="-2054891344"/>
        <c:axId val="-2054891888"/>
      </c:scatterChart>
      <c:valAx>
        <c:axId val="-2054891344"/>
        <c:scaling>
          <c:orientation val="minMax"/>
          <c:max val="5"/>
          <c:min val="-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r>
                  <a:rPr lang="en-US" sz="900" b="1" i="0" baseline="0">
                    <a:effectLst/>
                  </a:rPr>
                  <a:t>Lower T.O.         Higher T.O. </a:t>
                </a:r>
                <a:endParaRPr lang="en-US" sz="900">
                  <a:effectLst/>
                </a:endParaRPr>
              </a:p>
            </c:rich>
          </c:tx>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title>
        <c:numFmt formatCode="General" sourceLinked="1"/>
        <c:majorTickMark val="in"/>
        <c:minorTickMark val="in"/>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054891888"/>
        <c:crosses val="autoZero"/>
        <c:crossBetween val="midCat"/>
        <c:majorUnit val="5"/>
      </c:valAx>
      <c:valAx>
        <c:axId val="-2054891888"/>
        <c:scaling>
          <c:orientation val="minMax"/>
          <c:max val="15"/>
          <c:min val="-1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j-lt"/>
                    <a:ea typeface="+mn-ea"/>
                    <a:cs typeface="+mn-cs"/>
                  </a:defRPr>
                </a:pPr>
                <a:r>
                  <a:rPr lang="en-US" b="1"/>
                  <a:t>Less Fav.          More Fav.</a:t>
                </a:r>
              </a:p>
            </c:rich>
          </c:tx>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j-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054891344"/>
        <c:crosses val="autoZero"/>
        <c:crossBetween val="midCat"/>
        <c:maj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mj-lt"/>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mj-lt"/>
                <a:ea typeface="+mn-ea"/>
                <a:cs typeface="+mn-cs"/>
              </a:defRPr>
            </a:pPr>
            <a:r>
              <a:rPr lang="en-US" sz="1100"/>
              <a:t>Figure 4A--Synergistic Effects of Television and Radio</a:t>
            </a:r>
          </a:p>
        </c:rich>
      </c:tx>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j-lt"/>
              <a:ea typeface="+mn-ea"/>
              <a:cs typeface="+mn-cs"/>
            </a:defRPr>
          </a:pPr>
          <a:endParaRPr lang="en-US"/>
        </a:p>
      </c:txPr>
    </c:title>
    <c:autoTitleDeleted val="0"/>
    <c:plotArea>
      <c:layout/>
      <c:scatterChart>
        <c:scatterStyle val="lineMarker"/>
        <c:varyColors val="0"/>
        <c:ser>
          <c:idx val="0"/>
          <c:order val="0"/>
          <c:tx>
            <c:strRef>
              <c:f>Sheet1!$B$1</c:f>
              <c:strCache>
                <c:ptCount val="1"/>
                <c:pt idx="0">
                  <c:v>Abbott Favorability</c:v>
                </c:pt>
              </c:strCache>
            </c:strRef>
          </c:tx>
          <c:spPr>
            <a:ln w="25400" cap="rnd">
              <a:noFill/>
              <a:round/>
            </a:ln>
            <a:effectLst>
              <a:outerShdw blurRad="40000" dist="23000" dir="5400000" rotWithShape="0">
                <a:srgbClr val="000000">
                  <a:alpha val="35000"/>
                </a:srgbClr>
              </a:outerShdw>
            </a:effectLst>
          </c:spPr>
          <c:marker>
            <c:symbol val="circle"/>
            <c:size val="6"/>
            <c:spPr>
              <a:solidFill>
                <a:schemeClr val="tx1"/>
              </a:solidFill>
              <a:ln w="9525" cap="rnd">
                <a:solidFill>
                  <a:schemeClr val="accent1"/>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dLbl>
              <c:idx val="0"/>
              <c:layout>
                <c:manualLayout>
                  <c:x val="-0.13477908424985752"/>
                  <c:y val="3.9129774234652206E-2"/>
                </c:manualLayout>
              </c:layout>
              <c:tx>
                <c:rich>
                  <a:bodyPr/>
                  <a:lstStyle/>
                  <a:p>
                    <a:r>
                      <a:rPr lang="en-US" b="1"/>
                      <a:t>Cable + </a:t>
                    </a:r>
                  </a:p>
                  <a:p>
                    <a:r>
                      <a:rPr lang="en-US" b="1"/>
                      <a:t>Radio</a:t>
                    </a:r>
                  </a:p>
                </c:rich>
              </c:tx>
              <c:dLblPos val="r"/>
              <c:showLegendKey val="0"/>
              <c:showVal val="1"/>
              <c:showCatName val="0"/>
              <c:showSerName val="0"/>
              <c:showPercent val="0"/>
              <c:showBubbleSize val="0"/>
              <c:extLst>
                <c:ext xmlns:c15="http://schemas.microsoft.com/office/drawing/2012/chart" uri="{CE6537A1-D6FC-4f65-9D91-7224C49458BB}">
                  <c15:layout>
                    <c:manualLayout>
                      <c:w val="0.11837812163559984"/>
                      <c:h val="0.12904564315352696"/>
                    </c:manualLayout>
                  </c15:layout>
                </c:ext>
              </c:extLst>
            </c:dLbl>
            <c:dLbl>
              <c:idx val="1"/>
              <c:layout>
                <c:manualLayout>
                  <c:x val="-0.16892782504063672"/>
                  <c:y val="-2.0428333387787108E-3"/>
                </c:manualLayout>
              </c:layout>
              <c:tx>
                <c:rich>
                  <a:bodyPr/>
                  <a:lstStyle/>
                  <a:p>
                    <a:r>
                      <a:rPr lang="en-US" b="1"/>
                      <a:t>Broadcast + </a:t>
                    </a:r>
                  </a:p>
                  <a:p>
                    <a:r>
                      <a:rPr lang="en-US" b="1"/>
                      <a:t>Cable</a:t>
                    </a:r>
                  </a:p>
                </c:rich>
              </c:tx>
              <c:dLblPos val="r"/>
              <c:showLegendKey val="0"/>
              <c:showVal val="1"/>
              <c:showCatName val="0"/>
              <c:showSerName val="0"/>
              <c:showPercent val="0"/>
              <c:showBubbleSize val="0"/>
              <c:extLst>
                <c:ext xmlns:c15="http://schemas.microsoft.com/office/drawing/2012/chart" uri="{CE6537A1-D6FC-4f65-9D91-7224C49458BB}">
                  <c15:layout>
                    <c:manualLayout>
                      <c:w val="0.15305630026809652"/>
                      <c:h val="0.12904564315352696"/>
                    </c:manualLayout>
                  </c15:layout>
                </c:ext>
              </c:extLst>
            </c:dLbl>
            <c:dLbl>
              <c:idx val="2"/>
              <c:layout>
                <c:manualLayout>
                  <c:x val="-5.5196060617255391E-2"/>
                  <c:y val="-2.2959526209156471E-2"/>
                </c:manualLayout>
              </c:layout>
              <c:tx>
                <c:rich>
                  <a:bodyPr rot="0" spcFirstLastPara="1" vertOverflow="ellipsis" vert="horz" wrap="square" anchor="ctr" anchorCtr="1"/>
                  <a:lstStyle/>
                  <a:p>
                    <a:pPr>
                      <a:defRPr sz="900" b="1" i="0" u="none" strike="noStrike" kern="1200" baseline="0">
                        <a:solidFill>
                          <a:schemeClr val="tx1">
                            <a:lumMod val="75000"/>
                            <a:lumOff val="25000"/>
                          </a:schemeClr>
                        </a:solidFill>
                        <a:latin typeface="+mj-lt"/>
                        <a:ea typeface="+mn-ea"/>
                        <a:cs typeface="+mn-cs"/>
                      </a:defRPr>
                    </a:pPr>
                    <a:r>
                      <a:rPr lang="en-US" b="1"/>
                      <a:t>Broadcast + </a:t>
                    </a:r>
                  </a:p>
                  <a:p>
                    <a:pPr>
                      <a:defRPr b="1"/>
                    </a:pPr>
                    <a:r>
                      <a:rPr lang="en-US" b="1"/>
                      <a:t>Radio</a:t>
                    </a:r>
                  </a:p>
                </c:rich>
              </c:tx>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j-lt"/>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manualLayout>
                      <c:w val="0.16202106774186736"/>
                      <c:h val="0.19345737903094062"/>
                    </c:manualLayout>
                  </c15:layout>
                </c:ext>
              </c:extLst>
            </c:dLbl>
            <c:dLbl>
              <c:idx val="3"/>
              <c:layout>
                <c:manualLayout>
                  <c:x val="-0.1040543307086615"/>
                  <c:y val="-8.6259758931407457E-2"/>
                </c:manualLayout>
              </c:layout>
              <c:tx>
                <c:rich>
                  <a:bodyPr rot="0" spcFirstLastPara="1" vertOverflow="ellipsis" vert="horz" wrap="square" anchor="ctr" anchorCtr="1"/>
                  <a:lstStyle/>
                  <a:p>
                    <a:pPr>
                      <a:defRPr sz="900" b="1" i="0" u="none" strike="noStrike" kern="1200" baseline="0">
                        <a:solidFill>
                          <a:schemeClr val="tx1">
                            <a:lumMod val="75000"/>
                            <a:lumOff val="25000"/>
                          </a:schemeClr>
                        </a:solidFill>
                        <a:latin typeface="+mj-lt"/>
                        <a:ea typeface="+mn-ea"/>
                        <a:cs typeface="+mn-cs"/>
                      </a:defRPr>
                    </a:pPr>
                    <a:r>
                      <a:rPr lang="en-US" b="1"/>
                      <a:t>Broadcast + </a:t>
                    </a:r>
                  </a:p>
                  <a:p>
                    <a:pPr>
                      <a:defRPr b="1"/>
                    </a:pPr>
                    <a:r>
                      <a:rPr lang="en-US" b="1"/>
                      <a:t>Cable + </a:t>
                    </a:r>
                  </a:p>
                  <a:p>
                    <a:pPr>
                      <a:defRPr b="1"/>
                    </a:pPr>
                    <a:r>
                      <a:rPr lang="en-US" b="1"/>
                      <a:t>Radio</a:t>
                    </a:r>
                  </a:p>
                </c:rich>
              </c:tx>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j-lt"/>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manualLayout>
                      <c:w val="0.16988090551181104"/>
                      <c:h val="0.18101242121804839"/>
                    </c:manualLayout>
                  </c15:layout>
                </c:ext>
              </c:extLst>
            </c:dLbl>
            <c:dLbl>
              <c:idx val="4"/>
              <c:layout>
                <c:manualLayout>
                  <c:x val="-8.9526292457410648E-3"/>
                  <c:y val="-8.9144640115006377E-3"/>
                </c:manualLayout>
              </c:layout>
              <c:tx>
                <c:rich>
                  <a:bodyPr/>
                  <a:lstStyle/>
                  <a:p>
                    <a:r>
                      <a:rPr lang="en-US" b="1"/>
                      <a:t>No TV/Radio</a:t>
                    </a:r>
                  </a:p>
                </c:rich>
              </c:tx>
              <c:dLblPos val="r"/>
              <c:showLegendKey val="0"/>
              <c:showVal val="1"/>
              <c:showCatName val="0"/>
              <c:showSerName val="0"/>
              <c:showPercent val="0"/>
              <c:showBubbleSize val="0"/>
              <c:extLst>
                <c:ext xmlns:c15="http://schemas.microsoft.com/office/drawing/2012/chart" uri="{CE6537A1-D6FC-4f65-9D91-7224C49458BB}">
                  <c15:layout>
                    <c:manualLayout>
                      <c:w val="0.16005530809989232"/>
                      <c:h val="7.0604436893521083E-2"/>
                    </c:manualLayout>
                  </c15:layout>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j-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Sheet1!$A$2:$A$6</c:f>
              <c:numCache>
                <c:formatCode>General</c:formatCode>
                <c:ptCount val="5"/>
                <c:pt idx="0">
                  <c:v>-1.7</c:v>
                </c:pt>
                <c:pt idx="1">
                  <c:v>0.3</c:v>
                </c:pt>
                <c:pt idx="2">
                  <c:v>6.6</c:v>
                </c:pt>
                <c:pt idx="3">
                  <c:v>4.7300000000000004</c:v>
                </c:pt>
                <c:pt idx="4">
                  <c:v>0.9</c:v>
                </c:pt>
              </c:numCache>
            </c:numRef>
          </c:xVal>
          <c:yVal>
            <c:numRef>
              <c:f>Sheet1!$B$2:$B$6</c:f>
              <c:numCache>
                <c:formatCode>General</c:formatCode>
                <c:ptCount val="5"/>
                <c:pt idx="0">
                  <c:v>-2</c:v>
                </c:pt>
                <c:pt idx="1">
                  <c:v>2.1</c:v>
                </c:pt>
                <c:pt idx="2">
                  <c:v>1.2</c:v>
                </c:pt>
                <c:pt idx="3">
                  <c:v>14.1</c:v>
                </c:pt>
                <c:pt idx="4">
                  <c:v>2.6</c:v>
                </c:pt>
              </c:numCache>
            </c:numRef>
          </c:yVal>
          <c:smooth val="0"/>
        </c:ser>
        <c:dLbls>
          <c:dLblPos val="t"/>
          <c:showLegendKey val="0"/>
          <c:showVal val="1"/>
          <c:showCatName val="0"/>
          <c:showSerName val="0"/>
          <c:showPercent val="0"/>
          <c:showBubbleSize val="0"/>
        </c:dLbls>
        <c:axId val="-2053660400"/>
        <c:axId val="-2053651696"/>
      </c:scatterChart>
      <c:valAx>
        <c:axId val="-2053660400"/>
        <c:scaling>
          <c:orientation val="minMax"/>
          <c:max val="10"/>
          <c:min val="-1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j-lt"/>
                    <a:ea typeface="+mn-ea"/>
                    <a:cs typeface="+mn-cs"/>
                  </a:defRPr>
                </a:pPr>
                <a:r>
                  <a:rPr lang="en-US" b="1"/>
                  <a:t>Lower Turnout                                                                                  Higher Turnout</a:t>
                </a:r>
              </a:p>
            </c:rich>
          </c:tx>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j-lt"/>
                  <a:ea typeface="+mn-ea"/>
                  <a:cs typeface="+mn-cs"/>
                </a:defRPr>
              </a:pPr>
              <a:endParaRPr lang="en-US"/>
            </a:p>
          </c:txPr>
        </c:title>
        <c:numFmt formatCode="General" sourceLinked="1"/>
        <c:majorTickMark val="in"/>
        <c:minorTickMark val="in"/>
        <c:tickLblPos val="nextTo"/>
        <c:spPr>
          <a:noFill/>
          <a:ln>
            <a:solidFill>
              <a:schemeClr val="dk1">
                <a:lumMod val="20000"/>
                <a:lumOff val="8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053651696"/>
        <c:crosses val="autoZero"/>
        <c:crossBetween val="midCat"/>
        <c:majorUnit val="5"/>
      </c:valAx>
      <c:valAx>
        <c:axId val="-2053651696"/>
        <c:scaling>
          <c:orientation val="minMax"/>
          <c:max val="20"/>
          <c:min val="-1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j-lt"/>
                    <a:ea typeface="+mn-ea"/>
                    <a:cs typeface="+mn-cs"/>
                  </a:defRPr>
                </a:pPr>
                <a:r>
                  <a:rPr lang="en-US" b="1"/>
                  <a:t>Less Favorable                             More Favorable</a:t>
                </a:r>
              </a:p>
            </c:rich>
          </c:tx>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j-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05366040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mj-lt"/>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j-lt"/>
                <a:ea typeface="+mn-ea"/>
                <a:cs typeface="+mn-cs"/>
              </a:defRPr>
            </a:pPr>
            <a:r>
              <a:rPr lang="en-US" sz="1100"/>
              <a:t>Figure 4B--Synergistic Effects of Digital Campaigning</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j-lt"/>
              <a:ea typeface="+mn-ea"/>
              <a:cs typeface="+mn-cs"/>
            </a:defRPr>
          </a:pPr>
          <a:endParaRPr lang="en-US"/>
        </a:p>
      </c:txPr>
    </c:title>
    <c:autoTitleDeleted val="0"/>
    <c:plotArea>
      <c:layout>
        <c:manualLayout>
          <c:layoutTarget val="inner"/>
          <c:xMode val="edge"/>
          <c:yMode val="edge"/>
          <c:x val="6.1912598425196849E-2"/>
          <c:y val="0.16785562632696391"/>
          <c:w val="0.9016874015748032"/>
          <c:h val="0.73123125532875266"/>
        </c:manualLayout>
      </c:layout>
      <c:scatterChart>
        <c:scatterStyle val="lineMarker"/>
        <c:varyColors val="0"/>
        <c:ser>
          <c:idx val="0"/>
          <c:order val="0"/>
          <c:tx>
            <c:strRef>
              <c:f>Sheet1!$B$1</c:f>
              <c:strCache>
                <c:ptCount val="1"/>
                <c:pt idx="0">
                  <c:v>Abbott Favorability</c:v>
                </c:pt>
              </c:strCache>
            </c:strRef>
          </c:tx>
          <c:spPr>
            <a:ln w="25400" cap="rnd">
              <a:noFill/>
              <a:round/>
            </a:ln>
            <a:effectLst>
              <a:outerShdw blurRad="40000" dist="23000" dir="5400000" rotWithShape="0">
                <a:srgbClr val="000000">
                  <a:alpha val="35000"/>
                </a:srgbClr>
              </a:outerShdw>
            </a:effectLst>
          </c:spPr>
          <c:marker>
            <c:symbol val="circle"/>
            <c:size val="6"/>
            <c:spPr>
              <a:solidFill>
                <a:schemeClr val="tx1"/>
              </a:solidFill>
              <a:ln w="9525" cap="rnd">
                <a:solidFill>
                  <a:schemeClr val="accent1"/>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dLbl>
              <c:idx val="0"/>
              <c:layout>
                <c:manualLayout>
                  <c:x val="-0.15153574972029296"/>
                  <c:y val="-2.7545241055394391E-3"/>
                </c:manualLayout>
              </c:layout>
              <c:tx>
                <c:rich>
                  <a:bodyPr/>
                  <a:lstStyle/>
                  <a:p>
                    <a:r>
                      <a:rPr lang="en-US" b="1"/>
                      <a:t>Facebook</a:t>
                    </a:r>
                    <a:r>
                      <a:rPr lang="en-US" b="1" baseline="0"/>
                      <a:t> +</a:t>
                    </a:r>
                  </a:p>
                  <a:p>
                    <a:r>
                      <a:rPr lang="en-US" b="1" baseline="0"/>
                      <a:t>Pre-Roll</a:t>
                    </a:r>
                    <a:endParaRPr lang="en-US" b="1"/>
                  </a:p>
                </c:rich>
              </c:tx>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4394777395452915"/>
                  <c:y val="4.1419778668017375E-2"/>
                </c:manualLayout>
              </c:layout>
              <c:tx>
                <c:rich>
                  <a:bodyPr/>
                  <a:lstStyle/>
                  <a:p>
                    <a:r>
                      <a:rPr lang="en-US" b="1"/>
                      <a:t>Internet +</a:t>
                    </a:r>
                  </a:p>
                  <a:p>
                    <a:r>
                      <a:rPr lang="en-US" b="1"/>
                      <a:t>Facebook</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3387598425196851E-2"/>
                  <c:y val="-2.1231422505307854E-2"/>
                </c:manualLayout>
              </c:layout>
              <c:tx>
                <c:rich>
                  <a:bodyPr/>
                  <a:lstStyle/>
                  <a:p>
                    <a:r>
                      <a:rPr lang="en-US" b="1"/>
                      <a:t>Internet + </a:t>
                    </a:r>
                  </a:p>
                  <a:p>
                    <a:r>
                      <a:rPr lang="en-US" b="1"/>
                      <a:t>Pre-Roll</a:t>
                    </a:r>
                  </a:p>
                </c:rich>
              </c:tx>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9397627240294696E-2"/>
                  <c:y val="4.5937898113613705E-3"/>
                </c:manualLayout>
              </c:layout>
              <c:tx>
                <c:rich>
                  <a:bodyPr/>
                  <a:lstStyle/>
                  <a:p>
                    <a:r>
                      <a:rPr lang="en-US"/>
                      <a:t>Internet + </a:t>
                    </a:r>
                  </a:p>
                  <a:p>
                    <a:r>
                      <a:rPr lang="en-US"/>
                      <a:t>Facebook + </a:t>
                    </a:r>
                  </a:p>
                  <a:p>
                    <a:r>
                      <a:rPr lang="en-US"/>
                      <a:t>Pre-Roll</a:t>
                    </a:r>
                  </a:p>
                </c:rich>
              </c:tx>
              <c:dLblPos val="r"/>
              <c:showLegendKey val="0"/>
              <c:showVal val="1"/>
              <c:showCatName val="0"/>
              <c:showSerName val="0"/>
              <c:showPercent val="0"/>
              <c:showBubbleSize val="0"/>
              <c:extLst>
                <c:ext xmlns:c15="http://schemas.microsoft.com/office/drawing/2012/chart" uri="{CE6537A1-D6FC-4f65-9D91-7224C49458BB}">
                  <c15:layout>
                    <c:manualLayout>
                      <c:w val="0.17988090551181102"/>
                      <c:h val="0.19799755922229467"/>
                    </c:manualLayout>
                  </c15:layout>
                </c:ext>
              </c:extLst>
            </c:dLbl>
            <c:dLbl>
              <c:idx val="4"/>
              <c:layout>
                <c:manualLayout>
                  <c:x val="-0.14947225095522576"/>
                  <c:y val="-1.4424951267056601E-2"/>
                </c:manualLayout>
              </c:layout>
              <c:tx>
                <c:rich>
                  <a:bodyPr/>
                  <a:lstStyle/>
                  <a:p>
                    <a:r>
                      <a:rPr lang="en-US" b="1"/>
                      <a:t>No Digital</a:t>
                    </a:r>
                  </a:p>
                </c:rich>
              </c:tx>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j-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Sheet1!$A$2:$A$6</c:f>
              <c:numCache>
                <c:formatCode>General</c:formatCode>
                <c:ptCount val="5"/>
                <c:pt idx="0">
                  <c:v>-0.9</c:v>
                </c:pt>
                <c:pt idx="1">
                  <c:v>-0.7</c:v>
                </c:pt>
                <c:pt idx="2">
                  <c:v>0.7</c:v>
                </c:pt>
                <c:pt idx="3">
                  <c:v>0.9</c:v>
                </c:pt>
                <c:pt idx="4">
                  <c:v>-0.5</c:v>
                </c:pt>
              </c:numCache>
            </c:numRef>
          </c:xVal>
          <c:yVal>
            <c:numRef>
              <c:f>Sheet1!$B$2:$B$6</c:f>
              <c:numCache>
                <c:formatCode>General</c:formatCode>
                <c:ptCount val="5"/>
                <c:pt idx="0">
                  <c:v>-1.5</c:v>
                </c:pt>
                <c:pt idx="1">
                  <c:v>-4.5</c:v>
                </c:pt>
                <c:pt idx="2">
                  <c:v>4.7</c:v>
                </c:pt>
                <c:pt idx="3">
                  <c:v>-5.9</c:v>
                </c:pt>
                <c:pt idx="4">
                  <c:v>3.7</c:v>
                </c:pt>
              </c:numCache>
            </c:numRef>
          </c:yVal>
          <c:smooth val="0"/>
        </c:ser>
        <c:dLbls>
          <c:dLblPos val="ctr"/>
          <c:showLegendKey val="0"/>
          <c:showVal val="1"/>
          <c:showCatName val="0"/>
          <c:showSerName val="0"/>
          <c:showPercent val="0"/>
          <c:showBubbleSize val="0"/>
        </c:dLbls>
        <c:axId val="-2053655504"/>
        <c:axId val="-2053663664"/>
      </c:scatterChart>
      <c:valAx>
        <c:axId val="-2053655504"/>
        <c:scaling>
          <c:orientation val="minMax"/>
          <c:max val="10"/>
          <c:min val="-1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j-lt"/>
                    <a:ea typeface="+mn-ea"/>
                    <a:cs typeface="+mn-cs"/>
                  </a:defRPr>
                </a:pPr>
                <a:r>
                  <a:rPr lang="en-US" b="1"/>
                  <a:t>Lower Turnout                                                                                   Higher Turnout</a:t>
                </a:r>
              </a:p>
            </c:rich>
          </c:tx>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j-lt"/>
                  <a:ea typeface="+mn-ea"/>
                  <a:cs typeface="+mn-cs"/>
                </a:defRPr>
              </a:pPr>
              <a:endParaRPr lang="en-US"/>
            </a:p>
          </c:txPr>
        </c:title>
        <c:numFmt formatCode="General" sourceLinked="1"/>
        <c:majorTickMark val="out"/>
        <c:minorTickMark val="in"/>
        <c:tickLblPos val="nextTo"/>
        <c:spPr>
          <a:noFill/>
          <a:ln>
            <a:solidFill>
              <a:schemeClr val="dk1">
                <a:lumMod val="20000"/>
                <a:lumOff val="8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053663664"/>
        <c:crosses val="autoZero"/>
        <c:crossBetween val="midCat"/>
        <c:majorUnit val="5"/>
      </c:valAx>
      <c:valAx>
        <c:axId val="-2053663664"/>
        <c:scaling>
          <c:orientation val="minMax"/>
          <c:max val="20"/>
          <c:min val="-1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j-lt"/>
                    <a:ea typeface="+mn-ea"/>
                    <a:cs typeface="+mn-cs"/>
                  </a:defRPr>
                </a:pPr>
                <a:r>
                  <a:rPr lang="en-US" b="1"/>
                  <a:t>Less Favorable                                More Favorable</a:t>
                </a:r>
              </a:p>
            </c:rich>
          </c:tx>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j-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05365550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mj-lt"/>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B4A6E-0A82-491F-8145-CC5E2F86D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36</Pages>
  <Words>8706</Words>
  <Characters>49625</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Daron</dc:creator>
  <cp:lastModifiedBy>Shaw, Daron R</cp:lastModifiedBy>
  <cp:revision>4</cp:revision>
  <cp:lastPrinted>2015-10-05T17:47:00Z</cp:lastPrinted>
  <dcterms:created xsi:type="dcterms:W3CDTF">2016-10-24T13:58:00Z</dcterms:created>
  <dcterms:modified xsi:type="dcterms:W3CDTF">2016-10-24T14:21:00Z</dcterms:modified>
</cp:coreProperties>
</file>