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26527" w14:textId="77777777" w:rsidR="009C74D8" w:rsidRDefault="009C74D8" w:rsidP="00D55B26">
      <w:pPr>
        <w:autoSpaceDE w:val="0"/>
        <w:spacing w:line="300" w:lineRule="atLeast"/>
        <w:jc w:val="center"/>
        <w:rPr>
          <w:b/>
          <w:sz w:val="28"/>
          <w:szCs w:val="28"/>
        </w:rPr>
      </w:pPr>
    </w:p>
    <w:p w14:paraId="573F615C" w14:textId="77777777" w:rsidR="009C74D8" w:rsidRDefault="009C74D8" w:rsidP="00D55B26">
      <w:pPr>
        <w:autoSpaceDE w:val="0"/>
        <w:spacing w:line="300" w:lineRule="atLeast"/>
        <w:jc w:val="center"/>
        <w:rPr>
          <w:b/>
          <w:sz w:val="28"/>
          <w:szCs w:val="28"/>
        </w:rPr>
      </w:pPr>
    </w:p>
    <w:p w14:paraId="3586D83F" w14:textId="77777777" w:rsidR="009C74D8" w:rsidRDefault="009C74D8" w:rsidP="00D55B26">
      <w:pPr>
        <w:autoSpaceDE w:val="0"/>
        <w:spacing w:line="300" w:lineRule="atLeast"/>
        <w:jc w:val="center"/>
        <w:rPr>
          <w:b/>
          <w:sz w:val="28"/>
          <w:szCs w:val="28"/>
        </w:rPr>
      </w:pPr>
    </w:p>
    <w:p w14:paraId="1122A9DA" w14:textId="77777777" w:rsidR="00D55B26" w:rsidRPr="002D344A" w:rsidRDefault="00D55B26" w:rsidP="00D55B26">
      <w:pPr>
        <w:autoSpaceDE w:val="0"/>
        <w:spacing w:line="300" w:lineRule="atLeast"/>
        <w:jc w:val="center"/>
        <w:rPr>
          <w:b/>
          <w:sz w:val="28"/>
          <w:szCs w:val="28"/>
        </w:rPr>
      </w:pPr>
      <w:r w:rsidRPr="002D344A">
        <w:rPr>
          <w:b/>
          <w:sz w:val="28"/>
          <w:szCs w:val="28"/>
        </w:rPr>
        <w:t>Does Information about Cam</w:t>
      </w:r>
      <w:bookmarkStart w:id="0" w:name="_GoBack"/>
      <w:bookmarkEnd w:id="0"/>
      <w:r w:rsidRPr="002D344A">
        <w:rPr>
          <w:b/>
          <w:sz w:val="28"/>
          <w:szCs w:val="28"/>
        </w:rPr>
        <w:t>paign Contributions Influence Vote Choice?</w:t>
      </w:r>
    </w:p>
    <w:p w14:paraId="79DAD62D" w14:textId="77777777" w:rsidR="00D55B26" w:rsidRPr="002D344A" w:rsidRDefault="00D55B26" w:rsidP="00D55B26">
      <w:pPr>
        <w:autoSpaceDE w:val="0"/>
        <w:spacing w:line="300" w:lineRule="atLeast"/>
        <w:jc w:val="center"/>
        <w:rPr>
          <w:sz w:val="28"/>
          <w:szCs w:val="28"/>
        </w:rPr>
      </w:pPr>
    </w:p>
    <w:p w14:paraId="5B576F36" w14:textId="77777777" w:rsidR="000F0234" w:rsidRDefault="000F0234">
      <w:pPr>
        <w:widowControl/>
        <w:suppressAutoHyphens w:val="0"/>
      </w:pPr>
    </w:p>
    <w:p w14:paraId="445255FD" w14:textId="77777777" w:rsidR="00383F17" w:rsidRPr="000F0234" w:rsidRDefault="00383F17">
      <w:pPr>
        <w:widowControl/>
        <w:suppressAutoHyphens w:val="0"/>
      </w:pPr>
    </w:p>
    <w:p w14:paraId="25B9AFEA" w14:textId="77777777" w:rsidR="00D55B26" w:rsidRPr="00F32898" w:rsidRDefault="00D55B26" w:rsidP="00F32898">
      <w:pPr>
        <w:autoSpaceDE w:val="0"/>
        <w:spacing w:line="480" w:lineRule="auto"/>
        <w:rPr>
          <w:b/>
        </w:rPr>
      </w:pPr>
      <w:r w:rsidRPr="00F32898">
        <w:rPr>
          <w:b/>
        </w:rPr>
        <w:t>Abstract</w:t>
      </w:r>
    </w:p>
    <w:p w14:paraId="5F9E7827" w14:textId="77777777" w:rsidR="00D55B26" w:rsidRPr="00F32898" w:rsidRDefault="00D55B26" w:rsidP="00F32898">
      <w:pPr>
        <w:autoSpaceDE w:val="0"/>
        <w:spacing w:line="480" w:lineRule="auto"/>
      </w:pPr>
      <w:r w:rsidRPr="00F32898">
        <w:t xml:space="preserve">Using the results from experiments embedded in two national surveys, this paper tests voters’ reaction to the amount and source of campaign contributions. We find that voters’ candidate preferences change far more in reaction to information about the source than to the amount of a candidate’s campaign contributions. Furthermore, the data indicate that the influence of contribution sources is more likely to affect support for Democratic and independent candidates. </w:t>
      </w:r>
    </w:p>
    <w:p w14:paraId="5D744955" w14:textId="77777777" w:rsidR="00D55B26" w:rsidRPr="00F32898" w:rsidRDefault="00D55B26" w:rsidP="00F32898">
      <w:pPr>
        <w:autoSpaceDE w:val="0"/>
        <w:spacing w:line="480" w:lineRule="auto"/>
      </w:pPr>
    </w:p>
    <w:p w14:paraId="512E2190" w14:textId="77777777" w:rsidR="00D55B26" w:rsidRPr="00F32898" w:rsidRDefault="00D55B26" w:rsidP="00F32898">
      <w:pPr>
        <w:autoSpaceDE w:val="0"/>
        <w:spacing w:line="480" w:lineRule="auto"/>
      </w:pPr>
    </w:p>
    <w:p w14:paraId="71CA696D" w14:textId="77777777" w:rsidR="00E32EAE" w:rsidRPr="00E32EAE" w:rsidRDefault="00E32EAE" w:rsidP="00F32898">
      <w:pPr>
        <w:autoSpaceDE w:val="0"/>
        <w:spacing w:line="480" w:lineRule="auto"/>
        <w:sectPr w:rsidR="00E32EAE" w:rsidRPr="00E32EAE" w:rsidSect="00D506B0">
          <w:headerReference w:type="default" r:id="rId8"/>
          <w:footerReference w:type="default" r:id="rId9"/>
          <w:pgSz w:w="12240" w:h="15840"/>
          <w:pgMar w:top="1440" w:right="1440" w:bottom="1440" w:left="1440" w:header="1138" w:footer="1138" w:gutter="0"/>
          <w:pgNumType w:start="0"/>
          <w:cols w:space="720"/>
          <w:docGrid w:linePitch="360"/>
        </w:sectPr>
      </w:pPr>
    </w:p>
    <w:p w14:paraId="7D3B6BD0" w14:textId="77777777" w:rsidR="00D55B26" w:rsidRPr="00F32898" w:rsidRDefault="00D55B26" w:rsidP="00F32898">
      <w:pPr>
        <w:autoSpaceDE w:val="0"/>
        <w:spacing w:line="480" w:lineRule="auto"/>
        <w:ind w:firstLine="706"/>
      </w:pPr>
      <w:r w:rsidRPr="00F32898">
        <w:lastRenderedPageBreak/>
        <w:t xml:space="preserve">At the heart of the Supreme Court’s argument in favor of campaign finance disclosure, articulated most fully in its </w:t>
      </w:r>
      <w:r w:rsidRPr="00F32898">
        <w:rPr>
          <w:i/>
        </w:rPr>
        <w:t>Buckley v. Valeo</w:t>
      </w:r>
      <w:r w:rsidRPr="00F32898">
        <w:t xml:space="preserve"> (1976) decision</w:t>
      </w:r>
      <w:r w:rsidRPr="00F32898">
        <w:rPr>
          <w:rStyle w:val="FootnoteReference"/>
        </w:rPr>
        <w:footnoteReference w:id="1"/>
      </w:r>
      <w:r w:rsidRPr="00F32898">
        <w:t>, is the conviction that the informational value to voters of disclosed campaign finance information trumps valid concerns over chilled speech. Specifically, the Court</w:t>
      </w:r>
      <w:r w:rsidR="00423F93">
        <w:t xml:space="preserve">—in </w:t>
      </w:r>
      <w:r w:rsidRPr="00F32898">
        <w:t>a curious nod to the spatial theory of voting (Downs 1957)</w:t>
      </w:r>
      <w:r w:rsidR="00423F93">
        <w:t>—asserted t</w:t>
      </w:r>
      <w:r w:rsidRPr="00F32898">
        <w:t xml:space="preserve">hat such information, “... allows voters to place each candidate in the political spectrum more precisely than is often possible solely on the basis of party labels and campaign speeches.” In other words, campaign finance information is alleged to provide voters with critical information about candidates </w:t>
      </w:r>
      <w:r w:rsidRPr="00F32898">
        <w:rPr>
          <w:i/>
        </w:rPr>
        <w:t>beyond</w:t>
      </w:r>
      <w:r w:rsidRPr="00F32898">
        <w:t xml:space="preserve"> knowing their party affiliations and policy positions. It is only recently that scholars have begun to test aspects of this strong empirical claim by the Court (Sances 2013; Dowling and Miller 2014)</w:t>
      </w:r>
      <w:r w:rsidRPr="00F32898">
        <w:rPr>
          <w:rStyle w:val="FootnoteReference"/>
        </w:rPr>
        <w:footnoteReference w:id="2"/>
      </w:r>
      <w:r w:rsidRPr="00F32898">
        <w:t>.</w:t>
      </w:r>
    </w:p>
    <w:p w14:paraId="6BA3F615" w14:textId="77777777" w:rsidR="00D55B26" w:rsidRPr="00F32898" w:rsidRDefault="00D55B26" w:rsidP="00F32898">
      <w:pPr>
        <w:autoSpaceDE w:val="0"/>
        <w:spacing w:line="480" w:lineRule="auto"/>
        <w:ind w:firstLine="706"/>
      </w:pPr>
      <w:r w:rsidRPr="00F32898">
        <w:t>This paper presents the results of survey-based experiments testing the impact of campaign finance information on the candidate preferences of survey respondents. We find that candidate support does vary with some, but not all, types of campaign finance information. In particular, we present evidence that it is mainly information about the source,</w:t>
      </w:r>
      <w:r w:rsidR="00B67A1D" w:rsidRPr="00F32898">
        <w:t xml:space="preserve"> </w:t>
      </w:r>
      <w:r w:rsidRPr="00F32898">
        <w:t xml:space="preserve">not the amount, of contributions that most influences voter preferences. </w:t>
      </w:r>
      <w:r w:rsidR="00D238BC">
        <w:t xml:space="preserve">This finding represents a significant contribution in light of the surprising fact that the comparative impact of </w:t>
      </w:r>
      <w:r w:rsidR="00773CA2">
        <w:t xml:space="preserve">information on </w:t>
      </w:r>
      <w:r w:rsidR="00D238BC">
        <w:lastRenderedPageBreak/>
        <w:t xml:space="preserve">contribution source and amount has never been established empirically. </w:t>
      </w:r>
      <w:r w:rsidRPr="00F32898">
        <w:t>In addition, our results show that voters react more to revelations about the source of contributions to Democratic and independent candidates than to Republicans, suggesting that fundraising details must provide “new” information if they are to prompt voters to update their vote choice. Collectively, these findings add to our understanding of how voters process campaign finance information and what that might suggest for campaign finance reform.</w:t>
      </w:r>
    </w:p>
    <w:p w14:paraId="0C2476A6" w14:textId="77777777" w:rsidR="00D55B26" w:rsidRPr="00F32898" w:rsidRDefault="00D55B26" w:rsidP="00F32898">
      <w:pPr>
        <w:autoSpaceDE w:val="0"/>
        <w:spacing w:line="480" w:lineRule="auto"/>
      </w:pPr>
    </w:p>
    <w:p w14:paraId="6DE86AE2" w14:textId="77777777" w:rsidR="00D55B26" w:rsidRPr="00F32898" w:rsidRDefault="00D55B26" w:rsidP="00F32898">
      <w:pPr>
        <w:autoSpaceDE w:val="0"/>
        <w:spacing w:line="480" w:lineRule="auto"/>
        <w:rPr>
          <w:b/>
        </w:rPr>
      </w:pPr>
      <w:r w:rsidRPr="00F32898">
        <w:rPr>
          <w:b/>
        </w:rPr>
        <w:t>Disclosure and the Courts</w:t>
      </w:r>
    </w:p>
    <w:p w14:paraId="0859633B" w14:textId="77777777" w:rsidR="00D55B26" w:rsidRPr="00F32898" w:rsidRDefault="00D55B26" w:rsidP="00F32898">
      <w:pPr>
        <w:autoSpaceDE w:val="0"/>
        <w:spacing w:line="480" w:lineRule="auto"/>
        <w:ind w:firstLine="709"/>
      </w:pPr>
      <w:r w:rsidRPr="00F32898">
        <w:t xml:space="preserve">The disclosure of campaign finance activity was one of the </w:t>
      </w:r>
      <w:r w:rsidR="00423F93">
        <w:t xml:space="preserve">main points of early </w:t>
      </w:r>
      <w:r w:rsidRPr="00F32898">
        <w:t>federal campaign finance laws. These reforms were part of concerted Progressive Era efforts to address growing concerns about the corrupting influence of money in politics. The first disclosure bill was introduced in 1906 under pressure and guidance from the National Publicity Bill Organization, a private group organized by Perry Belmont, a leading reformer, to galvanize grassroots support for disclosure of the flow of money in politics. Although this first bill, introduced by Samuel McCall (R-MA), failed, subsequent efforts in 1910 (c.392, 36 Stat. 822) and again in 1911 (§ 2, 37 Stat. 26) brought to life the first meaningful federal campaign finance disclosure laws (Mutch 1988, pp. 8-16).</w:t>
      </w:r>
    </w:p>
    <w:p w14:paraId="68407D1D" w14:textId="3E040661" w:rsidR="00D55B26" w:rsidRPr="00F32898" w:rsidRDefault="004D57D8" w:rsidP="00F32898">
      <w:pPr>
        <w:autoSpaceDE w:val="0"/>
        <w:spacing w:line="480" w:lineRule="auto"/>
        <w:ind w:firstLine="709"/>
        <w:rPr>
          <w:b/>
        </w:rPr>
      </w:pPr>
      <w:r>
        <w:t>C</w:t>
      </w:r>
      <w:r w:rsidR="00C24955" w:rsidRPr="00F32898">
        <w:t>onstitutional questions have surrounded</w:t>
      </w:r>
      <w:r w:rsidR="00D55B26" w:rsidRPr="00F32898">
        <w:t xml:space="preserve"> campaign finance laws from the beginning</w:t>
      </w:r>
      <w:r>
        <w:t xml:space="preserve">. However, </w:t>
      </w:r>
      <w:r w:rsidR="00D55B26" w:rsidRPr="00F32898">
        <w:t xml:space="preserve">it was not until the 1976 </w:t>
      </w:r>
      <w:r w:rsidR="00D55B26" w:rsidRPr="00F32898">
        <w:rPr>
          <w:i/>
        </w:rPr>
        <w:t>Buckley v. Valeo</w:t>
      </w:r>
      <w:r w:rsidR="00D55B26" w:rsidRPr="00F32898">
        <w:t xml:space="preserve"> decision that the Supreme Court directly addressed the</w:t>
      </w:r>
      <w:r w:rsidR="00C24955" w:rsidRPr="00F32898">
        <w:t xml:space="preserve"> issue</w:t>
      </w:r>
      <w:r w:rsidR="00D55B26" w:rsidRPr="00F32898">
        <w:t xml:space="preserve">. Such laws were challenged as </w:t>
      </w:r>
      <w:r w:rsidR="006A45AB" w:rsidRPr="00F32898">
        <w:t>part of a broad First Amendment-</w:t>
      </w:r>
      <w:r w:rsidR="00D55B26" w:rsidRPr="00F32898">
        <w:t xml:space="preserve">based assault on the 1974 amendments to the Federal Election Campaign Act (FECA), on the grounds </w:t>
      </w:r>
      <w:r w:rsidR="00D55B26" w:rsidRPr="00F32898">
        <w:lastRenderedPageBreak/>
        <w:t>that disclosure has a chilling effect on political speech.</w:t>
      </w:r>
      <w:r w:rsidR="00D55B26" w:rsidRPr="00F32898">
        <w:rPr>
          <w:rStyle w:val="FootnoteReference"/>
        </w:rPr>
        <w:footnoteReference w:id="3"/>
      </w:r>
      <w:r w:rsidR="009327E8" w:rsidRPr="00F32898">
        <w:t xml:space="preserve"> </w:t>
      </w:r>
      <w:r w:rsidR="00D55B26" w:rsidRPr="00F32898">
        <w:t>The Supreme Court ruled that the FECA disclosure rules were entirely constitutional</w:t>
      </w:r>
      <w:r w:rsidR="009327E8" w:rsidRPr="00F32898">
        <w:t>,</w:t>
      </w:r>
      <w:r w:rsidR="00423F93">
        <w:t xml:space="preserve"> in part because </w:t>
      </w:r>
      <w:r w:rsidR="00D55B26" w:rsidRPr="00F32898">
        <w:t xml:space="preserve">they provide for the dissemination of valuable information to voters about the ideology </w:t>
      </w:r>
      <w:r w:rsidR="00423F93">
        <w:t>o</w:t>
      </w:r>
      <w:r w:rsidR="00D55B26" w:rsidRPr="00F32898">
        <w:t>f candidates – their place on the “political spectrum” – and thus facilitate more informed voting decisions.</w:t>
      </w:r>
      <w:r w:rsidR="00D55B26" w:rsidRPr="00F32898">
        <w:rPr>
          <w:rStyle w:val="FootnoteReference"/>
        </w:rPr>
        <w:footnoteReference w:id="4"/>
      </w:r>
    </w:p>
    <w:p w14:paraId="0D0CA199" w14:textId="77777777" w:rsidR="00D55B26" w:rsidRPr="00F32898" w:rsidRDefault="004D57D8" w:rsidP="00F32898">
      <w:pPr>
        <w:autoSpaceDE w:val="0"/>
        <w:spacing w:line="480" w:lineRule="auto"/>
        <w:ind w:firstLine="709"/>
      </w:pPr>
      <w:r>
        <w:t xml:space="preserve">This presumed link—which underpins much of the Court’s thinking about </w:t>
      </w:r>
      <w:r w:rsidR="00167A67">
        <w:t xml:space="preserve">legitimate limits on protected political speech and, consequently, campaign finance regulation—has very rarely been subject to empirical examination. </w:t>
      </w:r>
      <w:r w:rsidR="00D55B26" w:rsidRPr="00F32898">
        <w:t>In this paper we test the Court’s voter information argument, examining whether the candidate preferences of survey respondents are influenced by specific information about campaign contributions to a hypothetical candidate. In what follows, we draw on information theories to develop and test expectations about the sensitivity of</w:t>
      </w:r>
      <w:r w:rsidR="006929B6" w:rsidRPr="00F32898">
        <w:t xml:space="preserve"> </w:t>
      </w:r>
      <w:r w:rsidR="00D55B26" w:rsidRPr="00F32898">
        <w:t>the American public to revelation of</w:t>
      </w:r>
      <w:r w:rsidR="006929B6" w:rsidRPr="00F32898">
        <w:t xml:space="preserve"> </w:t>
      </w:r>
      <w:r w:rsidR="00D55B26" w:rsidRPr="00F32898">
        <w:t xml:space="preserve">campaign contribution information.  </w:t>
      </w:r>
    </w:p>
    <w:p w14:paraId="38A018D0" w14:textId="77777777" w:rsidR="00D55B26" w:rsidRPr="00F32898" w:rsidRDefault="00D55B26" w:rsidP="00F32898">
      <w:pPr>
        <w:autoSpaceDE w:val="0"/>
        <w:spacing w:line="480" w:lineRule="auto"/>
        <w:rPr>
          <w:b/>
          <w:bCs/>
        </w:rPr>
      </w:pPr>
    </w:p>
    <w:p w14:paraId="70E4C02C" w14:textId="77777777" w:rsidR="00D55B26" w:rsidRPr="00F32898" w:rsidRDefault="00D55B26" w:rsidP="00F32898">
      <w:pPr>
        <w:autoSpaceDE w:val="0"/>
        <w:spacing w:line="480" w:lineRule="auto"/>
        <w:rPr>
          <w:b/>
          <w:bCs/>
        </w:rPr>
      </w:pPr>
      <w:r w:rsidRPr="00F32898">
        <w:rPr>
          <w:b/>
          <w:bCs/>
        </w:rPr>
        <w:t>Campaign Contributions in the Public's Eyes</w:t>
      </w:r>
    </w:p>
    <w:p w14:paraId="12AD454F" w14:textId="77777777" w:rsidR="00D55B26" w:rsidRPr="00F32898" w:rsidRDefault="00D55B26" w:rsidP="00F32898">
      <w:pPr>
        <w:autoSpaceDE w:val="0"/>
        <w:spacing w:line="480" w:lineRule="auto"/>
        <w:ind w:firstLine="709"/>
      </w:pPr>
      <w:r w:rsidRPr="00F32898">
        <w:t xml:space="preserve">We begin with some intuitive theoretical assumptions about uncertainty, information, public opinion and democratic processes. For illustrative purposes, and because we ultimately wish to focus our study on voters’ preferences, we frame this discussion in terms of candidates </w:t>
      </w:r>
      <w:r w:rsidRPr="00F32898">
        <w:lastRenderedPageBreak/>
        <w:t>and voting rather than issues and policy positions. As election campaigns unfold, we assume that voters “update” their attitude towards a candidate based on low cost, easily available information such as a candidate’s party and whether the candidate is the incumbent office-holder (Lodge et al. 1995), as well as other heuristics (Tversky and Kahneman 1974</w:t>
      </w:r>
      <w:r w:rsidR="009327E8" w:rsidRPr="00F32898">
        <w:t>;</w:t>
      </w:r>
      <w:r w:rsidRPr="00F32898">
        <w:t xml:space="preserve"> Popkin 1991</w:t>
      </w:r>
      <w:r w:rsidR="009327E8" w:rsidRPr="00F32898">
        <w:t>;</w:t>
      </w:r>
      <w:r w:rsidRPr="00F32898">
        <w:t xml:space="preserve"> Lupia 1994).We further assume that information about a candidate’s friends, supporters, and contributors is best understood as a heuristic</w:t>
      </w:r>
      <w:r w:rsidR="00423F93">
        <w:t>; i</w:t>
      </w:r>
      <w:r w:rsidRPr="00F32898">
        <w:t>t provides voters with a</w:t>
      </w:r>
      <w:r w:rsidR="006929B6" w:rsidRPr="00F32898">
        <w:t xml:space="preserve"> </w:t>
      </w:r>
      <w:r w:rsidRPr="00F32898">
        <w:t>low-cost basis for developing impressions about the candidate and what she will do if elected.</w:t>
      </w:r>
      <w:r w:rsidRPr="00F32898">
        <w:rPr>
          <w:rStyle w:val="FootnoteReference"/>
        </w:rPr>
        <w:footnoteReference w:id="5"/>
      </w:r>
    </w:p>
    <w:p w14:paraId="1C489BC7" w14:textId="77777777" w:rsidR="00D55B26" w:rsidRPr="00F32898" w:rsidRDefault="00D55B26" w:rsidP="00F32898">
      <w:pPr>
        <w:autoSpaceDE w:val="0"/>
        <w:spacing w:line="480" w:lineRule="auto"/>
        <w:ind w:firstLine="709"/>
      </w:pPr>
      <w:r w:rsidRPr="00F32898">
        <w:t xml:space="preserve">Based on this perspective, what the Supreme Court contends is that campaign finance information (e.g., information about how much and from whom a candidate has raised money) could affect voters’ candidate preferences, or even their decisions to vote at all. The underlying logic of the Court ought to be directly observable in how people react to information about a candidate’s campaign funding. In particular, information about the amount and source of a candidate’s campaign contributions should influence support for the candidate. </w:t>
      </w:r>
    </w:p>
    <w:p w14:paraId="288CDDFD" w14:textId="77777777" w:rsidR="00D55B26" w:rsidRPr="00F32898" w:rsidRDefault="00D55B26" w:rsidP="00F32898">
      <w:pPr>
        <w:autoSpaceDE w:val="0"/>
        <w:spacing w:line="480" w:lineRule="auto"/>
        <w:ind w:firstLine="709"/>
      </w:pPr>
      <w:r w:rsidRPr="00F32898">
        <w:t>The direction of influence is not obvious. With respect to contribution amounts, a candidate receiving tens of millions of dollars in contributions may be viewed more favorably to the extent this demonstrates broad</w:t>
      </w:r>
      <w:r w:rsidR="001B64A6" w:rsidRPr="00F32898">
        <w:t xml:space="preserve"> </w:t>
      </w:r>
      <w:r w:rsidRPr="00F32898">
        <w:t xml:space="preserve">support. Conversely, she may be viewed less favorably because she </w:t>
      </w:r>
      <w:r w:rsidR="003146E9">
        <w:t>is</w:t>
      </w:r>
      <w:r w:rsidRPr="00F32898">
        <w:t xml:space="preserve"> allied with moneyed interests. With respect to contribution sources, money </w:t>
      </w:r>
      <w:r w:rsidRPr="00F32898">
        <w:lastRenderedPageBreak/>
        <w:t xml:space="preserve">flowing from a particular group could increase support by signaling a connection with a preferred cause. Or, it could decrease support by signaling a connection with a despised interest. </w:t>
      </w:r>
    </w:p>
    <w:p w14:paraId="3F2CEB55" w14:textId="77777777" w:rsidR="00D55B26" w:rsidRPr="00F32898" w:rsidRDefault="00D55B26" w:rsidP="00F32898">
      <w:pPr>
        <w:autoSpaceDE w:val="0"/>
        <w:spacing w:line="480" w:lineRule="auto"/>
        <w:ind w:firstLine="709"/>
      </w:pPr>
      <w:r w:rsidRPr="00F32898">
        <w:t xml:space="preserve">In setting our sights on voters and candidates, we draw on (and seek to </w:t>
      </w:r>
      <w:r w:rsidR="003146E9">
        <w:t>bolster</w:t>
      </w:r>
      <w:r w:rsidRPr="00F32898">
        <w:t xml:space="preserve">) the voluminous literature on voting in the U.S. We know, for example, that voters rely on party identification to </w:t>
      </w:r>
      <w:r w:rsidR="003146E9">
        <w:t xml:space="preserve">infer things about </w:t>
      </w:r>
      <w:r w:rsidRPr="00F32898">
        <w:t>candidates—their issue positions (Campbell et al. 1960; Lewis-Beck et al. 200</w:t>
      </w:r>
      <w:r w:rsidR="00A36656" w:rsidRPr="00F32898">
        <w:t>8</w:t>
      </w:r>
      <w:r w:rsidRPr="00F32898">
        <w:t>) and their personal traits (Hayes 2006)</w:t>
      </w:r>
      <w:r w:rsidR="003146E9">
        <w:t xml:space="preserve">. It follows that voters may also infer </w:t>
      </w:r>
      <w:r w:rsidRPr="00F32898">
        <w:t xml:space="preserve">that candidates from one party are more likely to raise substantial amounts of money or to collect contributions from certain sources. In this way, actual information about contributions may already have been factored into their likelihood of voting for a candidate. We also know that information contrary to one’s partisan leanings </w:t>
      </w:r>
      <w:r w:rsidR="003146E9">
        <w:t xml:space="preserve">(say, for example, that your party’s candidate has accepted major contributions from a disreputable source) </w:t>
      </w:r>
      <w:r w:rsidRPr="00F32898">
        <w:t>is often discounted or rationalized so as to avoid cognitive dissonance—a phenomenon often referred to as “motivated reasoning” (</w:t>
      </w:r>
      <w:r w:rsidR="00A83708" w:rsidRPr="00F32898">
        <w:t>Taber and Lodge 2006</w:t>
      </w:r>
      <w:r w:rsidR="009327E8" w:rsidRPr="00F32898">
        <w:t xml:space="preserve">; </w:t>
      </w:r>
      <w:r w:rsidRPr="00F32898">
        <w:t>Redlawsk, Civittini, and Emmerson 2010</w:t>
      </w:r>
      <w:r w:rsidR="00D47103" w:rsidRPr="00F32898">
        <w:t>; but see Bullock 2009</w:t>
      </w:r>
      <w:r w:rsidRPr="00F32898">
        <w:t xml:space="preserve">). All of this may be why we have little direct evidence on the impact of campaign finance information; the conventional wisdom in the voting literature </w:t>
      </w:r>
      <w:r w:rsidR="003146E9">
        <w:t xml:space="preserve">is </w:t>
      </w:r>
      <w:r w:rsidRPr="00F32898">
        <w:t>that information about campaign contributions is unlikely to be noticed by voters (see Delli Carpini and Keeter 1996) and, contrary to the Court’s assumptions, unlikely to move voters even if they encounter it.</w:t>
      </w:r>
    </w:p>
    <w:p w14:paraId="394CED1A" w14:textId="77777777" w:rsidR="00D55B26" w:rsidRPr="00F32898" w:rsidRDefault="00D55B26" w:rsidP="00F32898">
      <w:pPr>
        <w:autoSpaceDE w:val="0"/>
        <w:spacing w:line="480" w:lineRule="auto"/>
        <w:ind w:firstLine="709"/>
      </w:pPr>
    </w:p>
    <w:p w14:paraId="5730D463" w14:textId="77777777" w:rsidR="00D55B26" w:rsidRPr="00F32898" w:rsidRDefault="00D55B26" w:rsidP="00F32898">
      <w:pPr>
        <w:autoSpaceDE w:val="0"/>
        <w:spacing w:line="480" w:lineRule="auto"/>
        <w:rPr>
          <w:b/>
        </w:rPr>
      </w:pPr>
      <w:r w:rsidRPr="00F32898">
        <w:rPr>
          <w:b/>
        </w:rPr>
        <w:t>The Survey Experiment</w:t>
      </w:r>
    </w:p>
    <w:p w14:paraId="0750C0EC" w14:textId="77777777" w:rsidR="00D55B26" w:rsidRPr="00F32898" w:rsidRDefault="00D55B26" w:rsidP="00F32898">
      <w:pPr>
        <w:autoSpaceDE w:val="0"/>
        <w:spacing w:line="480" w:lineRule="auto"/>
        <w:ind w:firstLine="709"/>
      </w:pPr>
      <w:r w:rsidRPr="00F32898">
        <w:t xml:space="preserve">From a design stand-point, we wish to develop an empirical study that allows us to estimate the impact of various sorts of campaign contribution information on voting behavior. A direct tack would be to conduct a survey and ask people how such information affects them; however, such an approach raises obvious questions about the reliability of self-reported </w:t>
      </w:r>
      <w:r w:rsidRPr="00F32898">
        <w:lastRenderedPageBreak/>
        <w:t>reactions. Instead, like both Sances (2013) and Dowling and Miller (2014), we chose to embe</w:t>
      </w:r>
      <w:r w:rsidR="00B57A7A" w:rsidRPr="00F32898">
        <w:t>d an experiment within a survey to test information effects directly.</w:t>
      </w:r>
    </w:p>
    <w:p w14:paraId="4005C0E0" w14:textId="77777777" w:rsidR="00D506B0" w:rsidRDefault="003146E9" w:rsidP="003146E9">
      <w:pPr>
        <w:autoSpaceDE w:val="0"/>
        <w:spacing w:line="480" w:lineRule="auto"/>
        <w:ind w:firstLine="709"/>
      </w:pPr>
      <w:r>
        <w:t xml:space="preserve">Our design differs in critical ways from these recent efforts, however. Unlike Sances (2013), </w:t>
      </w:r>
      <w:r w:rsidR="00D55B26" w:rsidRPr="00F32898">
        <w:t xml:space="preserve">we focus on information related to the source and size of contributions to candidates, which speaks to money directly collected and spent by a candidate, </w:t>
      </w:r>
      <w:r>
        <w:t xml:space="preserve">rather than </w:t>
      </w:r>
      <w:r w:rsidR="00D55B26" w:rsidRPr="00F32898">
        <w:t xml:space="preserve">the identity of </w:t>
      </w:r>
      <w:r w:rsidR="00B57A7A" w:rsidRPr="00F32898">
        <w:t>independent</w:t>
      </w:r>
      <w:r w:rsidR="00D55B26" w:rsidRPr="00F32898">
        <w:t xml:space="preserve"> supporters.</w:t>
      </w:r>
      <w:r>
        <w:t xml:space="preserve"> Unlike Dowling and Miller (2014), we </w:t>
      </w:r>
      <w:r w:rsidR="00D55B26" w:rsidRPr="00F32898">
        <w:t xml:space="preserve">1) focus on the relative </w:t>
      </w:r>
      <w:r>
        <w:t xml:space="preserve">effects of contributions from different interest groups (rather than comparing self-funded versus non-self-funded candidates), </w:t>
      </w:r>
      <w:r w:rsidR="00D55B26" w:rsidRPr="00F32898">
        <w:t xml:space="preserve">2) </w:t>
      </w:r>
      <w:r w:rsidR="00156A7A">
        <w:t xml:space="preserve">specifically </w:t>
      </w:r>
      <w:r w:rsidR="00D55B26" w:rsidRPr="00F32898">
        <w:t xml:space="preserve">identify interest groups by name or category, and 3) manipulate the contribution amounts. </w:t>
      </w:r>
    </w:p>
    <w:p w14:paraId="37C5327C" w14:textId="77777777" w:rsidR="003146E9" w:rsidRPr="00F32898" w:rsidRDefault="003146E9" w:rsidP="003146E9">
      <w:pPr>
        <w:autoSpaceDE w:val="0"/>
        <w:spacing w:line="480" w:lineRule="auto"/>
        <w:ind w:firstLine="709"/>
        <w:rPr>
          <w:u w:val="single"/>
        </w:rPr>
      </w:pPr>
    </w:p>
    <w:p w14:paraId="232E821C" w14:textId="77777777" w:rsidR="00D55B26" w:rsidRPr="00F32898" w:rsidRDefault="00D55B26" w:rsidP="00F32898">
      <w:pPr>
        <w:autoSpaceDE w:val="0"/>
        <w:spacing w:line="480" w:lineRule="auto"/>
        <w:rPr>
          <w:u w:val="single"/>
        </w:rPr>
      </w:pPr>
      <w:r w:rsidRPr="00F32898">
        <w:rPr>
          <w:u w:val="single"/>
        </w:rPr>
        <w:t>Survey Description</w:t>
      </w:r>
    </w:p>
    <w:p w14:paraId="4A423574" w14:textId="77777777" w:rsidR="00D55B26" w:rsidRPr="00F32898" w:rsidRDefault="00D55B26" w:rsidP="00F32898">
      <w:pPr>
        <w:autoSpaceDE w:val="0"/>
        <w:spacing w:line="480" w:lineRule="auto"/>
        <w:ind w:firstLine="709"/>
      </w:pPr>
      <w:r w:rsidRPr="00F32898">
        <w:t xml:space="preserve">For this study we conducted two nationally representative surveys—one in October of 2009 (before the 2010 </w:t>
      </w:r>
      <w:r w:rsidR="007F0152" w:rsidRPr="00F32898">
        <w:rPr>
          <w:i/>
        </w:rPr>
        <w:t>Citizen</w:t>
      </w:r>
      <w:r w:rsidRPr="00F32898">
        <w:rPr>
          <w:i/>
        </w:rPr>
        <w:t>s United</w:t>
      </w:r>
      <w:r w:rsidRPr="00F32898">
        <w:t xml:space="preserve"> decision) and one in October of 2013 (roughly three and a half years afterwards).</w:t>
      </w:r>
      <w:r w:rsidR="00B67A1D" w:rsidRPr="00F32898">
        <w:rPr>
          <w:rStyle w:val="FootnoteReference"/>
        </w:rPr>
        <w:footnoteReference w:id="6"/>
      </w:r>
      <w:r w:rsidR="00B67A1D" w:rsidRPr="00F32898">
        <w:t xml:space="preserve"> T</w:t>
      </w:r>
      <w:r w:rsidRPr="00F32898">
        <w:t xml:space="preserve">he October 2009 survey was conducted online by YouGov and included 2,100 respondents. </w:t>
      </w:r>
      <w:r w:rsidR="00156A7A">
        <w:t>T</w:t>
      </w:r>
      <w:r w:rsidRPr="00F32898">
        <w:t>he survey instrument focused exclusively on attitudes towards money and politics. Embedded within the instrument was a randomized experiment designed to gauge respondents’ likelihood of voting for a hypothetical U.S. Senate candidate (the generic “Chris Jones”).</w:t>
      </w:r>
      <w:r w:rsidRPr="00F32898">
        <w:rPr>
          <w:rStyle w:val="FootnoteReference"/>
        </w:rPr>
        <w:footnoteReference w:id="7"/>
      </w:r>
      <w:r w:rsidRPr="00F32898">
        <w:t xml:space="preserve"> Three informational treatment variables were manipulated: the amount of money raised by the candidate ($50,000 versus $20 million), the main source of campaign </w:t>
      </w:r>
      <w:r w:rsidRPr="00F32898">
        <w:lastRenderedPageBreak/>
        <w:t xml:space="preserve">contributions (friends and acquaintances versus tobacco companies versus trial lawyers), and the candidate’s party affiliation (Democrat versus Republican versus independent).  </w:t>
      </w:r>
    </w:p>
    <w:p w14:paraId="69096F57" w14:textId="77777777" w:rsidR="00D55B26" w:rsidRPr="00F32898" w:rsidRDefault="00D55B26" w:rsidP="00F32898">
      <w:pPr>
        <w:autoSpaceDE w:val="0"/>
        <w:spacing w:line="480" w:lineRule="auto"/>
        <w:ind w:firstLine="709"/>
      </w:pPr>
      <w:r w:rsidRPr="00F32898">
        <w:t>The October 2013 survey was also conducted online by YouGov and included 2,000 respondents. We followed the 2009 survey design and embedded a randomized experiment within the survey; this one also sought to gauge respondents’ likelihood of voting for Chris Jones. But while we repeated the contribution amount treatment, we tested a different set of contributors. In place of tobacco companies and trial lawyers, we substituted oil companies and green energy companies.</w:t>
      </w:r>
      <w:r w:rsidR="006929B6" w:rsidRPr="00F32898">
        <w:t xml:space="preserve"> </w:t>
      </w:r>
      <w:r w:rsidRPr="00F32898">
        <w:t>The logic and particulars of each treatment manipulation are delineated below.</w:t>
      </w:r>
    </w:p>
    <w:p w14:paraId="2A015265" w14:textId="77777777" w:rsidR="00D55B26" w:rsidRPr="00F32898" w:rsidRDefault="00D55B26" w:rsidP="00F32898">
      <w:pPr>
        <w:autoSpaceDE w:val="0"/>
        <w:spacing w:line="480" w:lineRule="auto"/>
        <w:rPr>
          <w:u w:val="single"/>
        </w:rPr>
      </w:pPr>
    </w:p>
    <w:p w14:paraId="0FC2B4DA" w14:textId="77777777" w:rsidR="00D55B26" w:rsidRPr="00F32898" w:rsidRDefault="00D55B26" w:rsidP="00F32898">
      <w:pPr>
        <w:autoSpaceDE w:val="0"/>
        <w:spacing w:line="480" w:lineRule="auto"/>
        <w:rPr>
          <w:u w:val="single"/>
        </w:rPr>
      </w:pPr>
      <w:r w:rsidRPr="00F32898">
        <w:rPr>
          <w:u w:val="single"/>
        </w:rPr>
        <w:t>Contribution Amount</w:t>
      </w:r>
    </w:p>
    <w:p w14:paraId="3BA0BF99" w14:textId="6EDDFDDD" w:rsidR="00D55B26" w:rsidRPr="00F32898" w:rsidRDefault="00D55B26" w:rsidP="00F32898">
      <w:pPr>
        <w:spacing w:line="480" w:lineRule="auto"/>
        <w:ind w:firstLine="706"/>
      </w:pPr>
      <w:r w:rsidRPr="00F32898">
        <w:t>Although federal campaign finance laws limit the amount of contributions to individual candidates from individuals and political committees</w:t>
      </w:r>
      <w:r w:rsidRPr="00F32898">
        <w:rPr>
          <w:rStyle w:val="FootnoteReference"/>
        </w:rPr>
        <w:footnoteReference w:id="8"/>
      </w:r>
      <w:r w:rsidRPr="00F32898">
        <w:t>, they do not limit the amount of money that a congressional candidate can raise or spend. To test the effect of the size of aggregate contributions raised by a candidate on the political behavior of voters, we randomly assign survey respondents to one of two treatments. In the first treatment, respondents are informed that a candidate for office has raised, in total, $50</w:t>
      </w:r>
      <w:r w:rsidR="00586850" w:rsidRPr="00F32898">
        <w:t xml:space="preserve"> </w:t>
      </w:r>
      <w:r w:rsidR="00156A7A">
        <w:rPr>
          <w:i/>
        </w:rPr>
        <w:t>t</w:t>
      </w:r>
      <w:r w:rsidRPr="00F32898">
        <w:rPr>
          <w:i/>
        </w:rPr>
        <w:t>housand</w:t>
      </w:r>
      <w:r w:rsidR="00586850" w:rsidRPr="00F32898">
        <w:rPr>
          <w:i/>
        </w:rPr>
        <w:t xml:space="preserve"> </w:t>
      </w:r>
      <w:r w:rsidRPr="00F32898">
        <w:t>($50K); in the second, they are informed that he has raised $20</w:t>
      </w:r>
      <w:r w:rsidR="006929B6" w:rsidRPr="00F32898">
        <w:t xml:space="preserve"> </w:t>
      </w:r>
      <w:r w:rsidR="00156A7A">
        <w:rPr>
          <w:i/>
        </w:rPr>
        <w:t>m</w:t>
      </w:r>
      <w:r w:rsidRPr="00F32898">
        <w:rPr>
          <w:i/>
        </w:rPr>
        <w:t>illion</w:t>
      </w:r>
      <w:r w:rsidRPr="00F32898">
        <w:t xml:space="preserve"> ($20M). The idea is to expose respondents to extremes – the “high end” and “low end” contribution amounts a Senate candidate is likely to raise – and to see how </w:t>
      </w:r>
      <w:r w:rsidRPr="00F32898">
        <w:lastRenderedPageBreak/>
        <w:t>they react.</w:t>
      </w:r>
      <w:r w:rsidR="00577E37" w:rsidRPr="00F32898">
        <w:rPr>
          <w:rStyle w:val="FootnoteReference"/>
        </w:rPr>
        <w:footnoteReference w:id="9"/>
      </w:r>
      <w:r w:rsidR="006D54E7">
        <w:t xml:space="preserve"> </w:t>
      </w:r>
      <w:r w:rsidR="00AD1033">
        <w:t xml:space="preserve">These </w:t>
      </w:r>
      <w:r w:rsidR="00390252">
        <w:t xml:space="preserve">specific </w:t>
      </w:r>
      <w:r w:rsidR="00AD1033">
        <w:t xml:space="preserve">numbers were derived from </w:t>
      </w:r>
      <w:r w:rsidR="00390252">
        <w:t xml:space="preserve">responses </w:t>
      </w:r>
      <w:r w:rsidR="00AD1033">
        <w:t xml:space="preserve">in our pilot surveys </w:t>
      </w:r>
      <w:r w:rsidR="00390252">
        <w:t xml:space="preserve">to questions </w:t>
      </w:r>
      <w:r w:rsidR="00AD1033">
        <w:t xml:space="preserve">about how much money voters </w:t>
      </w:r>
      <w:r w:rsidR="00AD1033" w:rsidRPr="008B6040">
        <w:rPr>
          <w:i/>
        </w:rPr>
        <w:t>thought</w:t>
      </w:r>
      <w:r w:rsidR="00AD1033">
        <w:t xml:space="preserve"> was coming from major contributors</w:t>
      </w:r>
      <w:r w:rsidR="00390252">
        <w:t>—we wanted our treatments to be significantly above and below the average and median response.</w:t>
      </w:r>
    </w:p>
    <w:p w14:paraId="20E33776" w14:textId="77777777" w:rsidR="00D55B26" w:rsidRPr="00F32898" w:rsidRDefault="00D55B26" w:rsidP="00F32898">
      <w:pPr>
        <w:autoSpaceDE w:val="0"/>
        <w:spacing w:line="480" w:lineRule="auto"/>
        <w:ind w:firstLine="709"/>
      </w:pPr>
      <w:r w:rsidRPr="00F32898">
        <w:t>Based on the Court’s logic, respondents should recoil from a candidate raising $20M</w:t>
      </w:r>
      <w:r w:rsidR="00577E37" w:rsidRPr="00F32898">
        <w:t xml:space="preserve"> </w:t>
      </w:r>
      <w:r w:rsidRPr="00F32898">
        <w:t>from a clearly identified source or interest; they might support the other candidate or they might stay home, but they should be less likely to support the well-heeled candidate. From our perspective—again, based on generalizations from information theory</w:t>
      </w:r>
      <w:r w:rsidR="00156A7A">
        <w:t xml:space="preserve"> and public opinion research</w:t>
      </w:r>
      <w:r w:rsidRPr="00F32898">
        <w:t xml:space="preserve">—voter reactions could go in different directions. Given what we know about Americans’ cynicism towards our politicians (Delli Carpini and Keeter 1996), there could very well be no reaction whatsoever. If there is a reaction, though, our expectation is that it could go </w:t>
      </w:r>
      <w:r w:rsidRPr="00F32898">
        <w:lastRenderedPageBreak/>
        <w:t xml:space="preserve">either way. On the one hand, the amount raised from any one particular class of contributors could evoke concerns about political indebtedness – the </w:t>
      </w:r>
      <w:r w:rsidRPr="00F32898">
        <w:rPr>
          <w:i/>
        </w:rPr>
        <w:t>quid pro quo</w:t>
      </w:r>
      <w:r w:rsidRPr="00F32898">
        <w:t xml:space="preserve"> that so concerns the Court – and cause voters to take their support elsewhere. On the other hand, the ability to raise a substantial amount of money may signal candidate strength and appeal to voters seeking affiliation with a resourceful winner or fellow ideological traveler.</w:t>
      </w:r>
    </w:p>
    <w:p w14:paraId="47D36C67" w14:textId="77777777" w:rsidR="00D55B26" w:rsidRPr="00F32898" w:rsidRDefault="00D55B26" w:rsidP="00F32898">
      <w:pPr>
        <w:autoSpaceDE w:val="0"/>
        <w:spacing w:line="480" w:lineRule="auto"/>
        <w:ind w:firstLine="709"/>
      </w:pPr>
    </w:p>
    <w:p w14:paraId="14F290A6" w14:textId="77777777" w:rsidR="00D55B26" w:rsidRPr="00F32898" w:rsidRDefault="00D55B26" w:rsidP="00F32898">
      <w:pPr>
        <w:autoSpaceDE w:val="0"/>
        <w:spacing w:line="480" w:lineRule="auto"/>
      </w:pPr>
      <w:r w:rsidRPr="00F32898">
        <w:rPr>
          <w:u w:val="single"/>
        </w:rPr>
        <w:t>Contribution Source</w:t>
      </w:r>
    </w:p>
    <w:p w14:paraId="38A3F2FE" w14:textId="77777777" w:rsidR="00D55B26" w:rsidRPr="00F32898" w:rsidRDefault="00D55B26" w:rsidP="00F32898">
      <w:pPr>
        <w:autoSpaceDE w:val="0"/>
        <w:spacing w:line="480" w:lineRule="auto"/>
        <w:ind w:firstLine="709"/>
      </w:pPr>
      <w:r w:rsidRPr="00F32898">
        <w:t>As with contribution amount, our goal with the October 2009 experiment was to offer respondents relatively extreme treatments. That is, the information conveyed in the treatment had to be strong enough to provoke (potentially, at least) a reaction without straining credulity. In the case of possible sources of campaign contributions, there was no shortage of provocative characters from which to draw. After much debate, we settled on three primary sources of contributions to our fictitious Mr. Jones—friends and acquaintances, tobacco companies, or trial lawyers.</w:t>
      </w:r>
      <w:r w:rsidRPr="00F32898">
        <w:rPr>
          <w:rStyle w:val="FootnoteReference"/>
        </w:rPr>
        <w:footnoteReference w:id="10"/>
      </w:r>
    </w:p>
    <w:p w14:paraId="04ADC714" w14:textId="77777777" w:rsidR="00D55B26" w:rsidRPr="00F32898" w:rsidRDefault="00D55B26" w:rsidP="00F32898">
      <w:pPr>
        <w:autoSpaceDE w:val="0"/>
        <w:spacing w:line="480" w:lineRule="auto"/>
        <w:ind w:firstLine="709"/>
      </w:pPr>
      <w:r w:rsidRPr="00F32898">
        <w:t xml:space="preserve"> The first of these – a network of friends – arguably represents the least provocative source of support (so long as they’re not identifiable as a bunch of Wall Street bankers...). Conversely, tobacco companies represent a group embroiled in considerable controversy, </w:t>
      </w:r>
      <w:r w:rsidRPr="00F32898">
        <w:lastRenderedPageBreak/>
        <w:t>particularly in the judgment of liberals and Democrats. Trial lawyers have a similarly poor reputation (though perhaps not quite so bad), held in particular distain by conservatives and Republicans. Thus, two of our treatment groups are designed to provoke negative reactions, with the potential for a differential partisan effect as Republicans and Democrats selectively search for heuristics to aid their vote choice (Bonica 2013</w:t>
      </w:r>
      <w:r w:rsidR="00C27318" w:rsidRPr="00F32898">
        <w:t xml:space="preserve">; </w:t>
      </w:r>
      <w:r w:rsidRPr="00F32898">
        <w:t>Lupia 1994</w:t>
      </w:r>
      <w:r w:rsidR="00C27318" w:rsidRPr="00F32898">
        <w:t xml:space="preserve">; </w:t>
      </w:r>
      <w:r w:rsidRPr="00F32898">
        <w:t xml:space="preserve">Popkin 1991). If voters are prepared to forgive “friendly” third-party contributions, then we might expect, for instance, a Democratic candidate to be punished relatively less for receiving lawyer rather than tobacco money. </w:t>
      </w:r>
    </w:p>
    <w:p w14:paraId="19BB04B6" w14:textId="77777777" w:rsidR="00D55B26" w:rsidRPr="00F32898" w:rsidRDefault="00D55B26" w:rsidP="00F32898">
      <w:pPr>
        <w:autoSpaceDE w:val="0"/>
        <w:spacing w:line="480" w:lineRule="auto"/>
        <w:ind w:firstLine="709"/>
      </w:pPr>
      <w:r w:rsidRPr="00F32898">
        <w:t>Again, information theory and the more generalized research on political opinion suggest that this information could very well have little to no effect on voters’ behavior. Conversely, it is also possible that we will see something consistent with campaign finance reform rhetoric, which places information about corporate money in a class of its own, as the most likely to elicit the greatest negative voter response. This would be followed by a slightly less vehement reaction to trial lawyers’ contributions, though reactions could vary depending upon both the party of the candidate, as well as the partisanship of the respondent. Finally, the least backlash—and perhaps even a slightly positive reaction—would be expected to a candidate acquiring campaign funds from friends and acquaintances.</w:t>
      </w:r>
    </w:p>
    <w:p w14:paraId="36B087AB" w14:textId="77777777" w:rsidR="00D55B26" w:rsidRPr="00F32898" w:rsidRDefault="00D55B26" w:rsidP="00F32898">
      <w:pPr>
        <w:autoSpaceDE w:val="0"/>
        <w:spacing w:line="480" w:lineRule="auto"/>
        <w:ind w:firstLine="709"/>
      </w:pPr>
      <w:r w:rsidRPr="00F32898">
        <w:t xml:space="preserve">In designing the 2013 study, we opted to update and expand the range of contribution sources; the aggregate contribution treatment was unchanged from the 2009 experiment. First, we think that tobacco companies and trial lawyers were less relevant in 2013 than they may have been in 2009. Second, while these entities served our initial purpose of measuring how potentially controversial contribution sources influence the attitudes of respondents, they could be too unusual to allow us to generalize. So for 2013 we used oil companies and green energy </w:t>
      </w:r>
      <w:r w:rsidRPr="00F32898">
        <w:lastRenderedPageBreak/>
        <w:t xml:space="preserve">companies, along with friends and acquaintances, as the treatments. Arguably, Democrats are relatively unfavorable towards oil companies, while Republicans are relatively unfavorable towards green energy companies. </w:t>
      </w:r>
    </w:p>
    <w:p w14:paraId="2D5184E3" w14:textId="77777777" w:rsidR="00D55B26" w:rsidRPr="00F32898" w:rsidRDefault="00D55B26" w:rsidP="00F32898">
      <w:pPr>
        <w:autoSpaceDE w:val="0"/>
        <w:spacing w:line="480" w:lineRule="auto"/>
        <w:ind w:firstLine="709"/>
      </w:pPr>
      <w:r w:rsidRPr="00F32898">
        <w:t xml:space="preserve">If there is a negative contribution source effect on attitudes towards </w:t>
      </w:r>
      <w:r w:rsidR="00156A7A">
        <w:t xml:space="preserve">Mr. </w:t>
      </w:r>
      <w:r w:rsidRPr="00F32898">
        <w:t xml:space="preserve">Jones, we expect it to be greatest in response to oil company contributions given the combination of </w:t>
      </w:r>
      <w:r w:rsidR="00156A7A">
        <w:t xml:space="preserve">big business </w:t>
      </w:r>
      <w:r w:rsidRPr="00F32898">
        <w:t>and an eco-unfriendly reputation. Green energy companies, on the other hand, provide a mixed prompt—Republicans may recoil at stories of cronyism (e.g., Solyndra) and other government subsidized boondoggles, but Democrats and independents may temper their concerns about corporate money given the positive social message of such enterprise. At any rate, these stimuli add range to what we can say about contribution source effects based on the 2009 experiment.</w:t>
      </w:r>
    </w:p>
    <w:p w14:paraId="2B63C32C" w14:textId="77777777" w:rsidR="00D55B26" w:rsidRPr="00F32898" w:rsidRDefault="00D55B26" w:rsidP="00F32898">
      <w:pPr>
        <w:autoSpaceDE w:val="0"/>
        <w:spacing w:line="480" w:lineRule="auto"/>
        <w:rPr>
          <w:u w:val="single"/>
        </w:rPr>
      </w:pPr>
    </w:p>
    <w:p w14:paraId="2D432622" w14:textId="77777777" w:rsidR="00D55B26" w:rsidRPr="00F32898" w:rsidRDefault="00D55B26" w:rsidP="00F32898">
      <w:pPr>
        <w:autoSpaceDE w:val="0"/>
        <w:spacing w:line="480" w:lineRule="auto"/>
        <w:rPr>
          <w:u w:val="single"/>
        </w:rPr>
      </w:pPr>
      <w:r w:rsidRPr="00F32898">
        <w:rPr>
          <w:u w:val="single"/>
        </w:rPr>
        <w:t>Partisanship</w:t>
      </w:r>
    </w:p>
    <w:p w14:paraId="041AB435" w14:textId="77777777" w:rsidR="00D55B26" w:rsidRPr="00F32898" w:rsidRDefault="00D55B26" w:rsidP="00F32898">
      <w:pPr>
        <w:autoSpaceDE w:val="0"/>
        <w:spacing w:line="480" w:lineRule="auto"/>
        <w:ind w:firstLine="709"/>
      </w:pPr>
      <w:r w:rsidRPr="00F32898">
        <w:t>We are interested in the underlying support for Democratic, Republican, and independent candidates, and (more particularly) in how voters react to information about campaign contributions going to a candidate of a specific party. The experiment therefore randomly varies the party of M</w:t>
      </w:r>
      <w:r w:rsidR="00B00CD8" w:rsidRPr="00F32898">
        <w:t xml:space="preserve">r. Jones, allowing us to gauge </w:t>
      </w:r>
      <w:r w:rsidRPr="00F32898">
        <w:t xml:space="preserve">1) how voters react </w:t>
      </w:r>
      <w:r w:rsidR="00B00CD8" w:rsidRPr="00F32898">
        <w:t xml:space="preserve">to candidate partisanship, and </w:t>
      </w:r>
      <w:r w:rsidRPr="00F32898">
        <w:t xml:space="preserve">2) how candidate partisanship influences the impact of specific information on campaign contributions on the voting decision.  </w:t>
      </w:r>
    </w:p>
    <w:p w14:paraId="0F7FFE2B" w14:textId="77777777" w:rsidR="00D55B26" w:rsidRPr="00F32898" w:rsidRDefault="00D55B26" w:rsidP="00F32898">
      <w:pPr>
        <w:autoSpaceDE w:val="0"/>
        <w:spacing w:line="480" w:lineRule="auto"/>
        <w:ind w:firstLine="709"/>
      </w:pPr>
      <w:r w:rsidRPr="00F32898">
        <w:t>In addition to the impact of candidate party affiliation, we are interested in the effect of voter party identification. In particular, how do partisans react to campaign contribution information about their “own” candidate versus the “other” candidate? And how do independent voters react to campaign contribution information about partisan candidates?</w:t>
      </w:r>
      <w:r w:rsidR="00C27318" w:rsidRPr="00F32898">
        <w:t xml:space="preserve"> </w:t>
      </w:r>
      <w:r w:rsidRPr="00F32898">
        <w:t xml:space="preserve">So while we are theoretically interested in how partisans react to contribution information about out-party </w:t>
      </w:r>
      <w:r w:rsidRPr="00F32898">
        <w:lastRenderedPageBreak/>
        <w:t>candidates, we expect support to be low across-the-board and are more interested in whether such information affects how they view in-party candidates. Similarly, as a practical matter we are relatively less interested in reactions by voters to the (rare) independent candidate; we want to know how independents react to contribution information about the major party candidates. More generally, we think this focus—and the attendant estimated effects—will yield important and practical insight with respect to mobilization and persuasion.</w:t>
      </w:r>
      <w:r w:rsidRPr="00F32898">
        <w:rPr>
          <w:rStyle w:val="FootnoteReference"/>
        </w:rPr>
        <w:footnoteReference w:id="11"/>
      </w:r>
    </w:p>
    <w:p w14:paraId="3C4671D7" w14:textId="77777777" w:rsidR="00D55B26" w:rsidRPr="00F32898" w:rsidRDefault="00D55B26" w:rsidP="00F32898">
      <w:pPr>
        <w:autoSpaceDE w:val="0"/>
        <w:spacing w:line="480" w:lineRule="auto"/>
        <w:ind w:firstLine="709"/>
      </w:pPr>
      <w:r w:rsidRPr="00F32898">
        <w:t>On the crucial question of how partisanship interacts with campaign contribution information, we expect that the extreme treatment—$20M from tobacco companies/trial lawyers—could be less damaging for partisan candidates than for independent candidates. Partisan candidates may be assumed to be “in bed” with their respective moneyed interests, such that information conveyed by the treatment may not be “new” and may, in fact, already have been factored into the vote choice.</w:t>
      </w:r>
      <w:r w:rsidR="00C24955" w:rsidRPr="00F32898">
        <w:t xml:space="preserve"> </w:t>
      </w:r>
      <w:r w:rsidRPr="00F32898">
        <w:t>Republican candidates, in particular, may be relatively immune to disclosure given their ties to business and moneyed interests compared to Democratic candidates (Herrnson 200</w:t>
      </w:r>
      <w:r w:rsidR="007B5377" w:rsidRPr="00F32898">
        <w:t>9</w:t>
      </w:r>
      <w:r w:rsidRPr="00F32898">
        <w:t xml:space="preserve">). </w:t>
      </w:r>
    </w:p>
    <w:p w14:paraId="758A241D" w14:textId="77777777" w:rsidR="00D55B26" w:rsidRPr="00F32898" w:rsidRDefault="00D55B26" w:rsidP="00F32898">
      <w:pPr>
        <w:autoSpaceDE w:val="0"/>
        <w:spacing w:line="480" w:lineRule="auto"/>
        <w:ind w:firstLine="709"/>
        <w:rPr>
          <w:rFonts w:eastAsia="Malgun Gothic"/>
          <w:u w:val="single"/>
          <w:lang w:eastAsia="ko-KR"/>
        </w:rPr>
      </w:pPr>
    </w:p>
    <w:p w14:paraId="4F9852A9" w14:textId="77777777" w:rsidR="00D55B26" w:rsidRPr="00F32898" w:rsidRDefault="00D55B26" w:rsidP="00F32898">
      <w:pPr>
        <w:autoSpaceDE w:val="0"/>
        <w:spacing w:line="480" w:lineRule="auto"/>
        <w:rPr>
          <w:rFonts w:eastAsia="PMingLiU"/>
          <w:u w:val="single"/>
        </w:rPr>
      </w:pPr>
      <w:r w:rsidRPr="00F32898">
        <w:rPr>
          <w:rFonts w:eastAsia="PMingLiU"/>
          <w:u w:val="single"/>
        </w:rPr>
        <w:t>The Experimental Frame</w:t>
      </w:r>
    </w:p>
    <w:p w14:paraId="21A80D6A" w14:textId="77777777" w:rsidR="00D55B26" w:rsidRPr="00F32898" w:rsidRDefault="00D55B26" w:rsidP="00F32898">
      <w:pPr>
        <w:autoSpaceDE w:val="0"/>
        <w:spacing w:line="480" w:lineRule="auto"/>
        <w:ind w:firstLine="709"/>
      </w:pPr>
      <w:r w:rsidRPr="00F32898">
        <w:t xml:space="preserve">The actual experiments embedded in the larger surveys entailed having respondents read and react to a slightly doctored news story in which the electoral prospects of a hypothetical U.S. Senate candidate – Chris Jones – are discussed. Here is </w:t>
      </w:r>
      <w:r w:rsidR="00C93DBB">
        <w:t xml:space="preserve">an abbreviated version of the </w:t>
      </w:r>
      <w:r w:rsidRPr="00F32898">
        <w:t xml:space="preserve">story </w:t>
      </w:r>
      <w:r w:rsidR="00C93DBB">
        <w:t xml:space="preserve">used </w:t>
      </w:r>
      <w:r w:rsidR="00C93DBB">
        <w:lastRenderedPageBreak/>
        <w:t>for t</w:t>
      </w:r>
      <w:r w:rsidRPr="00F32898">
        <w:t>he 2009 experiment (items in brackets are randomly assigned to respondents):</w:t>
      </w:r>
      <w:r w:rsidRPr="00F32898">
        <w:rPr>
          <w:rStyle w:val="20"/>
        </w:rPr>
        <w:footnoteReference w:id="12"/>
      </w:r>
    </w:p>
    <w:p w14:paraId="47176430" w14:textId="77777777" w:rsidR="00D55B26" w:rsidRPr="00F32898" w:rsidRDefault="00D55B26" w:rsidP="00967F42">
      <w:pPr>
        <w:autoSpaceDE w:val="0"/>
        <w:spacing w:line="480" w:lineRule="auto"/>
        <w:ind w:left="720" w:right="720" w:hanging="11"/>
        <w:rPr>
          <w:rFonts w:eastAsia="PMingLiU"/>
        </w:rPr>
      </w:pPr>
      <w:r w:rsidRPr="00F32898">
        <w:t>“</w:t>
      </w:r>
      <w:r w:rsidRPr="00F32898">
        <w:rPr>
          <w:i/>
        </w:rPr>
        <w:t>WASHINGTON, D.C. — When it comes to next year's primaries for U.S. senators, a few challengers may get lucky as their opponent incumbents are feeling a lot like Rodney Dangerfield: They can't get any respect</w:t>
      </w:r>
      <w:r w:rsidR="00156A7A">
        <w:rPr>
          <w:i/>
        </w:rPr>
        <w:t>…</w:t>
      </w:r>
      <w:r w:rsidRPr="00F32898">
        <w:rPr>
          <w:i/>
        </w:rPr>
        <w:t>As a(n) [Independent / Republican / Democrat], Chris Jones hopes to take advantage of the current political climate to win a Senate seat in November 2010.  If his fundraising is any indication, his chances seem pretty good so far.  Since last December, Jones has raised [$20 million / $50,000], with the majority of this money coming from [the tobacco industry / trial lawyers / friends and acquaintances]. Jones may get lucky, if the transcending trend of his popularity and fundraising keeps up. Over the next year, Jones will rely more and more on his staff and growing army of volunteers to launch his campaign with an eye toward an eventual victory in November 2010.”</w:t>
      </w:r>
    </w:p>
    <w:p w14:paraId="676B669E" w14:textId="77777777" w:rsidR="00D55B26" w:rsidRPr="00F32898" w:rsidRDefault="00D55B26" w:rsidP="00C93DBB">
      <w:pPr>
        <w:suppressAutoHyphens w:val="0"/>
        <w:autoSpaceDE w:val="0"/>
        <w:spacing w:line="480" w:lineRule="auto"/>
        <w:ind w:firstLine="706"/>
      </w:pPr>
      <w:r w:rsidRPr="00F32898">
        <w:t xml:space="preserve">For 2013, the article was </w:t>
      </w:r>
      <w:r w:rsidR="00C93DBB">
        <w:t xml:space="preserve">slightly </w:t>
      </w:r>
      <w:r w:rsidRPr="00F32898">
        <w:t>updated and streamlined</w:t>
      </w:r>
      <w:r w:rsidR="00C93DBB">
        <w:t xml:space="preserve">, with oil companies and green energy replacing the tobacco industry and trial lawyers. </w:t>
      </w:r>
      <w:r w:rsidRPr="00F32898">
        <w:t xml:space="preserve">Note that we have constructed a 3 x 2 x 3 design; respondents were randomly assigned into one of 18 treatment cells (see </w:t>
      </w:r>
      <w:r w:rsidR="000A3F80">
        <w:t xml:space="preserve">online appendix </w:t>
      </w:r>
      <w:r w:rsidRPr="00F32898">
        <w:t xml:space="preserve">for detailed information on cell sizes). For a relatively small-N survey, this design would be problematic, as the number of respondents in the different treatment cells would be too small to assume the random distribution of important covariates or to generate statistically significant </w:t>
      </w:r>
      <w:r w:rsidRPr="00F32898">
        <w:lastRenderedPageBreak/>
        <w:t>differences. But our surveys of 2,100 in 2009 and 2,000 in 2013 produced 1,606 and 1,950 valid responses (respectively), with an average of 89 and 108 responses per cell, obviating both of these concerns.</w:t>
      </w:r>
      <w:r w:rsidRPr="00F32898">
        <w:rPr>
          <w:rStyle w:val="FootnoteReference"/>
        </w:rPr>
        <w:footnoteReference w:id="13"/>
      </w:r>
    </w:p>
    <w:p w14:paraId="1E4CABCB" w14:textId="77777777" w:rsidR="00D55B26" w:rsidRPr="00F32898" w:rsidRDefault="00D55B26" w:rsidP="00F32898">
      <w:pPr>
        <w:suppressAutoHyphens w:val="0"/>
        <w:autoSpaceDE w:val="0"/>
        <w:spacing w:line="480" w:lineRule="auto"/>
      </w:pPr>
      <w:r w:rsidRPr="00F32898">
        <w:tab/>
        <w:t>Note also that we do not have a traditional control group</w:t>
      </w:r>
      <w:r w:rsidR="00C93DBB">
        <w:t xml:space="preserve">, as it </w:t>
      </w:r>
      <w:r w:rsidRPr="00F32898">
        <w:t xml:space="preserve">is counter-productive to ask about the likelihood of voting for Chris Jones without offering any information about the candidate. Rather, we follow common experimental practice (Gadarian and Albertson 2014) and use the most innocuous of treatments—independent candidate, $50K raised, contributions primarily from friends and acquaintances—as our baseline. </w:t>
      </w:r>
    </w:p>
    <w:p w14:paraId="7E674FE7" w14:textId="77777777" w:rsidR="00D55B26" w:rsidRPr="00F32898" w:rsidRDefault="00D55B26" w:rsidP="00C46BB0">
      <w:pPr>
        <w:suppressAutoHyphens w:val="0"/>
        <w:autoSpaceDE w:val="0"/>
        <w:spacing w:line="480" w:lineRule="auto"/>
        <w:ind w:firstLine="706"/>
      </w:pPr>
      <w:r w:rsidRPr="00F32898">
        <w:t xml:space="preserve">Following the news story, respondents </w:t>
      </w:r>
      <w:r w:rsidRPr="00F32898">
        <w:rPr>
          <w:rFonts w:eastAsia="PMingLiU"/>
        </w:rPr>
        <w:t>were</w:t>
      </w:r>
      <w:r w:rsidRPr="00F32898">
        <w:t xml:space="preserve"> asked</w:t>
      </w:r>
      <w:r w:rsidR="00C46BB0">
        <w:t xml:space="preserve"> to rate t</w:t>
      </w:r>
      <w:r w:rsidRPr="00F32898">
        <w:t>he likelihood of voting for Chris Jones</w:t>
      </w:r>
      <w:r w:rsidR="00C46BB0">
        <w:t xml:space="preserve"> on </w:t>
      </w:r>
      <w:r w:rsidRPr="00F32898">
        <w:t>a 0-10 scale</w:t>
      </w:r>
      <w:r w:rsidR="00C46BB0">
        <w:t>. This number serves as</w:t>
      </w:r>
      <w:r w:rsidRPr="00F32898">
        <w:t xml:space="preserve"> the key dependent variable in our analysis.</w:t>
      </w:r>
      <w:r w:rsidR="003F10E2" w:rsidRPr="00F32898">
        <w:t xml:space="preserve"> Focusing on this particular dependent variable is not </w:t>
      </w:r>
      <w:r w:rsidR="000F650B" w:rsidRPr="00F32898">
        <w:t>as obvious a</w:t>
      </w:r>
      <w:r w:rsidR="002F50B0" w:rsidRPr="00F32898">
        <w:t xml:space="preserve"> choice a</w:t>
      </w:r>
      <w:r w:rsidR="000F650B" w:rsidRPr="00F32898">
        <w:t xml:space="preserve">s one might think. While we are ultimately interested in whether (and to what extent) information about campaign contributions affects vote choice, we might also have focused on whether such information affects voters’ perceptions of corruption or systemic efficacy, or </w:t>
      </w:r>
      <w:r w:rsidR="001259FF" w:rsidRPr="00F32898">
        <w:t xml:space="preserve">whether it affects voters’ ability to place the candidates on an ideological scale. These are, after all, assertions implicit in the Court’s previous holdings. </w:t>
      </w:r>
      <w:r w:rsidR="00636346" w:rsidRPr="00F32898">
        <w:t>Moreover, we use a scaled measure of perceived corruption as an independent variable in predicting vote choice in our multi-variate models. Ultimately</w:t>
      </w:r>
      <w:r w:rsidR="001259FF" w:rsidRPr="00F32898">
        <w:t>, however, our emphasis o</w:t>
      </w:r>
      <w:r w:rsidR="002F50B0" w:rsidRPr="00F32898">
        <w:t>n</w:t>
      </w:r>
      <w:r w:rsidR="001259FF" w:rsidRPr="00F32898">
        <w:t xml:space="preserve"> vote choice is a matter of theoretical and practical necessity. Theoretically, </w:t>
      </w:r>
      <w:r w:rsidR="003262D7" w:rsidRPr="00F32898">
        <w:t xml:space="preserve">we want to know about the behavioral impact of contribution information; opinions, especially those aimed at the election system, are much less interesting if they do not result in action. Practically, </w:t>
      </w:r>
      <w:r w:rsidR="003262D7" w:rsidRPr="00F32898">
        <w:lastRenderedPageBreak/>
        <w:t xml:space="preserve">voters already express substantial cynicism towards the financing of elections in the U.S. </w:t>
      </w:r>
      <w:r w:rsidR="00133399" w:rsidRPr="00F32898">
        <w:t xml:space="preserve">It is unclear whether a treatment that moves self-rated cynicism from, say, 80 percent to 90 percent will register as either statistically or substantively significant. Still, we acknowledge that our choice here means we are left to assume, rather than test, some </w:t>
      </w:r>
      <w:r w:rsidR="002F50B0" w:rsidRPr="00F32898">
        <w:t xml:space="preserve">interesting </w:t>
      </w:r>
      <w:r w:rsidR="00133399" w:rsidRPr="00F32898">
        <w:t>causal mechanisms.</w:t>
      </w:r>
    </w:p>
    <w:p w14:paraId="5C7143DB" w14:textId="77777777" w:rsidR="00D55B26" w:rsidRPr="00F32898" w:rsidRDefault="00D55B26" w:rsidP="00F32898">
      <w:pPr>
        <w:suppressAutoHyphens w:val="0"/>
        <w:autoSpaceDE w:val="0"/>
        <w:spacing w:line="480" w:lineRule="auto"/>
      </w:pPr>
    </w:p>
    <w:p w14:paraId="00451AFA" w14:textId="77777777" w:rsidR="00D55B26" w:rsidRPr="00F32898" w:rsidRDefault="00D55B26" w:rsidP="00F32898">
      <w:pPr>
        <w:suppressAutoHyphens w:val="0"/>
        <w:autoSpaceDE w:val="0"/>
        <w:spacing w:line="480" w:lineRule="auto"/>
        <w:rPr>
          <w:rFonts w:eastAsia="PMingLiU"/>
          <w:b/>
        </w:rPr>
      </w:pPr>
      <w:r w:rsidRPr="00F32898">
        <w:rPr>
          <w:rFonts w:eastAsia="PMingLiU"/>
          <w:b/>
        </w:rPr>
        <w:t>Campaign Contribution Information and Vote Preference</w:t>
      </w:r>
    </w:p>
    <w:p w14:paraId="7628AA4E" w14:textId="77777777" w:rsidR="00D55B26" w:rsidRPr="00F32898" w:rsidRDefault="00D55B26" w:rsidP="00F32898">
      <w:pPr>
        <w:suppressAutoHyphens w:val="0"/>
        <w:autoSpaceDE w:val="0"/>
        <w:spacing w:line="480" w:lineRule="auto"/>
        <w:rPr>
          <w:rFonts w:eastAsia="PMingLiU"/>
          <w:u w:val="single"/>
        </w:rPr>
      </w:pPr>
      <w:r w:rsidRPr="00F32898">
        <w:rPr>
          <w:rFonts w:eastAsia="PMingLiU"/>
          <w:u w:val="single"/>
        </w:rPr>
        <w:t>A First Cut</w:t>
      </w:r>
    </w:p>
    <w:p w14:paraId="111A691A" w14:textId="77777777" w:rsidR="00D55B26" w:rsidRPr="00F32898" w:rsidRDefault="00D55B26" w:rsidP="00F32898">
      <w:pPr>
        <w:suppressAutoHyphens w:val="0"/>
        <w:autoSpaceDE w:val="0"/>
        <w:spacing w:line="480" w:lineRule="auto"/>
        <w:rPr>
          <w:rFonts w:eastAsia="PMingLiU"/>
        </w:rPr>
      </w:pPr>
      <w:r w:rsidRPr="00F32898">
        <w:rPr>
          <w:rFonts w:eastAsia="PMingLiU"/>
        </w:rPr>
        <w:tab/>
        <w:t>Contribution source matters (see Table 1).</w:t>
      </w:r>
      <w:r w:rsidR="00C27318" w:rsidRPr="00F32898">
        <w:rPr>
          <w:rFonts w:eastAsia="PMingLiU"/>
        </w:rPr>
        <w:t xml:space="preserve"> </w:t>
      </w:r>
      <w:r w:rsidRPr="00F32898">
        <w:rPr>
          <w:rFonts w:eastAsia="PMingLiU"/>
        </w:rPr>
        <w:t>Chris Jones receives his highest support when raising most of his money from friends and acquaintances. His support drops, by statistically significant margins, if he received contributions from the tobacco industry, trial lawyers, or (in the 2013 survey) the oil industry. Interestingly, the consequences of raising money from green energy sources (2013) are statistically indistinguishable from those of friends and acquaintances.</w:t>
      </w:r>
    </w:p>
    <w:p w14:paraId="3D3EC890" w14:textId="5560F701" w:rsidR="00D55B26" w:rsidRPr="00F32898" w:rsidRDefault="0002552A" w:rsidP="00F32898">
      <w:pPr>
        <w:suppressAutoHyphens w:val="0"/>
        <w:autoSpaceDE w:val="0"/>
        <w:spacing w:line="480" w:lineRule="auto"/>
        <w:ind w:firstLine="706"/>
        <w:rPr>
          <w:rFonts w:eastAsia="PMingLiU"/>
        </w:rPr>
      </w:pPr>
      <w:r>
        <w:rPr>
          <w:rFonts w:eastAsia="PMingLiU"/>
        </w:rPr>
        <w:t>Conversely, c</w:t>
      </w:r>
      <w:r w:rsidR="00D55B26" w:rsidRPr="00F32898">
        <w:rPr>
          <w:rFonts w:eastAsia="PMingLiU"/>
        </w:rPr>
        <w:t>ontribution amount does not matter. In both the 2009 and 2013 experiments, support for candidate Jones is unaffected by the amount of money he receives.</w:t>
      </w:r>
    </w:p>
    <w:p w14:paraId="2CA1060B" w14:textId="3CE34F9D" w:rsidR="00D55B26" w:rsidRPr="00F32898" w:rsidRDefault="00D55B26" w:rsidP="00F32898">
      <w:pPr>
        <w:suppressAutoHyphens w:val="0"/>
        <w:autoSpaceDE w:val="0"/>
        <w:spacing w:line="480" w:lineRule="auto"/>
        <w:ind w:firstLine="706"/>
        <w:rPr>
          <w:rFonts w:eastAsia="PMingLiU"/>
        </w:rPr>
      </w:pPr>
      <w:r w:rsidRPr="00F32898">
        <w:rPr>
          <w:rFonts w:eastAsia="PMingLiU"/>
        </w:rPr>
        <w:t>The partisanship of the candidate</w:t>
      </w:r>
      <w:r w:rsidR="008F7540" w:rsidRPr="00F32898">
        <w:rPr>
          <w:rFonts w:eastAsia="PMingLiU"/>
        </w:rPr>
        <w:t xml:space="preserve"> </w:t>
      </w:r>
      <w:r w:rsidR="0002552A">
        <w:rPr>
          <w:rFonts w:eastAsia="PMingLiU"/>
        </w:rPr>
        <w:t xml:space="preserve">also </w:t>
      </w:r>
      <w:r w:rsidR="008F7540" w:rsidRPr="00F32898">
        <w:rPr>
          <w:rFonts w:eastAsia="PMingLiU"/>
        </w:rPr>
        <w:t>matters</w:t>
      </w:r>
      <w:r w:rsidRPr="00F32898">
        <w:rPr>
          <w:rFonts w:eastAsia="PMingLiU"/>
        </w:rPr>
        <w:t xml:space="preserve">. In 2009, Jones does worse if he is identified as a Democrat regardless of contribution source and amount (his average support as a Democrat is 3.58, compared to 4.27 as a Republican and 3.99 as an independent). This difference </w:t>
      </w:r>
      <w:r w:rsidR="0002552A">
        <w:rPr>
          <w:rFonts w:eastAsia="PMingLiU"/>
        </w:rPr>
        <w:t xml:space="preserve">is statistically significant and </w:t>
      </w:r>
      <w:r w:rsidRPr="00F32898">
        <w:rPr>
          <w:rFonts w:eastAsia="PMingLiU"/>
        </w:rPr>
        <w:t xml:space="preserve">almost certainly reflects the mood of the nation at the time of the survey; in the fall of 2009 Republicans and independents were energized (and angry) while Democrats were divided and defensive over issues such as the auto industry bailouts and health care reform. Still, the pro-GOP edge is striking and perhaps prescient in light of the Republican electoral victories of 2009 and 2010. This Republican advantage disappears in the 2013 survey, which may reflect the public’s frustration with the two major parties due to partisan stalemates </w:t>
      </w:r>
      <w:r w:rsidRPr="00F32898">
        <w:rPr>
          <w:rFonts w:eastAsia="PMingLiU"/>
        </w:rPr>
        <w:lastRenderedPageBreak/>
        <w:t xml:space="preserve">over the federal budget and debt ceiling. </w:t>
      </w:r>
    </w:p>
    <w:p w14:paraId="3871A3A5" w14:textId="77777777" w:rsidR="00D55B26" w:rsidRDefault="00D55B26" w:rsidP="00F32898">
      <w:pPr>
        <w:suppressAutoHyphens w:val="0"/>
        <w:autoSpaceDE w:val="0"/>
        <w:spacing w:line="480" w:lineRule="auto"/>
        <w:jc w:val="center"/>
        <w:rPr>
          <w:rFonts w:eastAsia="PMingLiU"/>
        </w:rPr>
      </w:pPr>
      <w:r w:rsidRPr="00F32898">
        <w:rPr>
          <w:rFonts w:eastAsia="PMingLiU"/>
        </w:rPr>
        <w:t>[Table 1 about here]</w:t>
      </w:r>
    </w:p>
    <w:p w14:paraId="7A9FCE00" w14:textId="77777777" w:rsidR="00372631" w:rsidRPr="00F32898" w:rsidRDefault="00372631" w:rsidP="00F32898">
      <w:pPr>
        <w:suppressAutoHyphens w:val="0"/>
        <w:autoSpaceDE w:val="0"/>
        <w:spacing w:line="480" w:lineRule="auto"/>
        <w:jc w:val="center"/>
        <w:rPr>
          <w:rFonts w:eastAsia="PMingLiU"/>
        </w:rPr>
      </w:pPr>
    </w:p>
    <w:p w14:paraId="5FAEC6C4" w14:textId="77777777" w:rsidR="00372631" w:rsidRPr="00F32898" w:rsidRDefault="00D55B26" w:rsidP="00372631">
      <w:pPr>
        <w:autoSpaceDE w:val="0"/>
        <w:spacing w:line="480" w:lineRule="auto"/>
        <w:rPr>
          <w:u w:val="single"/>
        </w:rPr>
      </w:pPr>
      <w:r w:rsidRPr="00F32898">
        <w:rPr>
          <w:rFonts w:eastAsia="PMingLiU"/>
          <w:u w:val="single"/>
        </w:rPr>
        <w:t>A Closer Look</w:t>
      </w:r>
      <w:r w:rsidR="00372631">
        <w:rPr>
          <w:rFonts w:eastAsia="PMingLiU"/>
          <w:u w:val="single"/>
        </w:rPr>
        <w:t>:</w:t>
      </w:r>
      <w:r w:rsidR="00372631" w:rsidRPr="00372631">
        <w:rPr>
          <w:u w:val="single"/>
        </w:rPr>
        <w:t xml:space="preserve"> </w:t>
      </w:r>
      <w:r w:rsidR="00372631" w:rsidRPr="00F32898">
        <w:rPr>
          <w:u w:val="single"/>
        </w:rPr>
        <w:t xml:space="preserve">Are there Differences by </w:t>
      </w:r>
      <w:r w:rsidR="00372631">
        <w:rPr>
          <w:u w:val="single"/>
        </w:rPr>
        <w:t>the Candidate</w:t>
      </w:r>
      <w:r w:rsidR="00372631" w:rsidRPr="00F32898">
        <w:rPr>
          <w:u w:val="single"/>
        </w:rPr>
        <w:t>’</w:t>
      </w:r>
      <w:r w:rsidR="00372631">
        <w:rPr>
          <w:u w:val="single"/>
        </w:rPr>
        <w:t>s</w:t>
      </w:r>
      <w:r w:rsidR="00372631" w:rsidRPr="00F32898">
        <w:rPr>
          <w:u w:val="single"/>
        </w:rPr>
        <w:t xml:space="preserve"> Par</w:t>
      </w:r>
      <w:r w:rsidR="00372631">
        <w:rPr>
          <w:u w:val="single"/>
        </w:rPr>
        <w:t>ty</w:t>
      </w:r>
      <w:r w:rsidR="00372631" w:rsidRPr="00F32898">
        <w:rPr>
          <w:u w:val="single"/>
        </w:rPr>
        <w:t>?</w:t>
      </w:r>
    </w:p>
    <w:p w14:paraId="2264CA19" w14:textId="227B7FBC" w:rsidR="00D55B26" w:rsidRPr="00F32898" w:rsidRDefault="00D55B26" w:rsidP="00F32898">
      <w:pPr>
        <w:suppressAutoHyphens w:val="0"/>
        <w:autoSpaceDE w:val="0"/>
        <w:spacing w:line="480" w:lineRule="auto"/>
        <w:ind w:firstLine="706"/>
        <w:rPr>
          <w:rFonts w:eastAsia="PMingLiU"/>
          <w:u w:val="single"/>
        </w:rPr>
      </w:pPr>
      <w:r w:rsidRPr="00F32898">
        <w:rPr>
          <w:rFonts w:eastAsia="PMingLiU"/>
        </w:rPr>
        <w:t xml:space="preserve">Figure 1 displays the mean support for candidate Chris Jones by contribution source, amount, and his party. The 2009 data demonstrate that contribution source has a clear and consistent effect on the likelihood of supporting Jones. When the candidate received most of his financial support from friends and acquaintances, Jones always scores higher than when he garners contributions from either trial lawyers or tobacco companies, regardless of his party affiliation. When candidate party affiliation is factored in, however, we find differential effects. A Republican Jones, for instance, obtains higher support when he receives donations from sources tied to the tobacco industry than to trial lawyers; the opposite is true for a Democratic Jones, for whom tobacco money does the most damage. </w:t>
      </w:r>
    </w:p>
    <w:p w14:paraId="0FA9EABD" w14:textId="77777777" w:rsidR="00D55B26" w:rsidRPr="00F32898" w:rsidRDefault="00D55B26" w:rsidP="00F32898">
      <w:pPr>
        <w:suppressAutoHyphens w:val="0"/>
        <w:autoSpaceDE w:val="0"/>
        <w:spacing w:line="480" w:lineRule="auto"/>
        <w:jc w:val="center"/>
        <w:rPr>
          <w:rFonts w:eastAsia="PMingLiU"/>
        </w:rPr>
      </w:pPr>
      <w:r w:rsidRPr="00F32898">
        <w:rPr>
          <w:rFonts w:eastAsia="PMingLiU"/>
        </w:rPr>
        <w:t>[Figure 1</w:t>
      </w:r>
      <w:r w:rsidR="006929B6" w:rsidRPr="00F32898">
        <w:rPr>
          <w:rFonts w:eastAsia="PMingLiU"/>
        </w:rPr>
        <w:t xml:space="preserve"> </w:t>
      </w:r>
      <w:r w:rsidRPr="00F32898">
        <w:rPr>
          <w:rFonts w:eastAsia="PMingLiU"/>
        </w:rPr>
        <w:t>about here]</w:t>
      </w:r>
    </w:p>
    <w:p w14:paraId="049F1D58" w14:textId="77777777" w:rsidR="00D55B26" w:rsidRPr="00F32898" w:rsidRDefault="00D55B26" w:rsidP="00F32898">
      <w:pPr>
        <w:suppressAutoHyphens w:val="0"/>
        <w:autoSpaceDE w:val="0"/>
        <w:spacing w:line="480" w:lineRule="auto"/>
        <w:ind w:firstLine="706"/>
        <w:rPr>
          <w:rFonts w:eastAsia="PMingLiU"/>
        </w:rPr>
      </w:pPr>
      <w:r w:rsidRPr="00F32898">
        <w:rPr>
          <w:rFonts w:eastAsia="PMingLiU"/>
        </w:rPr>
        <w:t>In contrast to the source effects, differences in contribution amount do not much affect candidate support. Across six such comparisons (where only contribution amount varies), we observe no statistically significant difference</w:t>
      </w:r>
      <w:r w:rsidR="00967F42">
        <w:rPr>
          <w:rFonts w:eastAsia="PMingLiU"/>
        </w:rPr>
        <w:t>s</w:t>
      </w:r>
      <w:r w:rsidRPr="00F32898">
        <w:rPr>
          <w:rFonts w:eastAsia="PMingLiU"/>
        </w:rPr>
        <w:t xml:space="preserve">. </w:t>
      </w:r>
    </w:p>
    <w:p w14:paraId="7B8A3642" w14:textId="76E02204" w:rsidR="00CD1F68" w:rsidRDefault="00D55B26" w:rsidP="00CD1F68">
      <w:pPr>
        <w:suppressAutoHyphens w:val="0"/>
        <w:autoSpaceDE w:val="0"/>
        <w:spacing w:line="480" w:lineRule="auto"/>
        <w:ind w:firstLine="800"/>
        <w:rPr>
          <w:rFonts w:eastAsia="PMingLiU"/>
        </w:rPr>
      </w:pPr>
      <w:r w:rsidRPr="00F32898">
        <w:rPr>
          <w:rFonts w:eastAsia="PMingLiU"/>
        </w:rPr>
        <w:t>It is also worth noting that contribution information seems to have a greater impact on a Democratic (as opposed to a Republican) Jones.</w:t>
      </w:r>
      <w:r w:rsidR="00EF73BE">
        <w:rPr>
          <w:rFonts w:eastAsia="PMingLiU"/>
        </w:rPr>
        <w:t xml:space="preserve"> </w:t>
      </w:r>
      <w:r w:rsidR="005A71BB">
        <w:rPr>
          <w:rFonts w:eastAsia="PMingLiU"/>
        </w:rPr>
        <w:t>C</w:t>
      </w:r>
      <w:r w:rsidR="00EF73BE">
        <w:rPr>
          <w:rFonts w:eastAsia="PMingLiU"/>
        </w:rPr>
        <w:t>ontribution</w:t>
      </w:r>
      <w:r w:rsidR="005A71BB">
        <w:rPr>
          <w:rFonts w:eastAsia="PMingLiU"/>
        </w:rPr>
        <w:t>s</w:t>
      </w:r>
      <w:r w:rsidR="00EF73BE">
        <w:rPr>
          <w:rFonts w:eastAsia="PMingLiU"/>
        </w:rPr>
        <w:t xml:space="preserve"> from friends and acquaint</w:t>
      </w:r>
      <w:r w:rsidR="0009708C">
        <w:rPr>
          <w:rFonts w:eastAsia="PMingLiU"/>
        </w:rPr>
        <w:t>a</w:t>
      </w:r>
      <w:r w:rsidR="00EF73BE">
        <w:rPr>
          <w:rFonts w:eastAsia="PMingLiU"/>
        </w:rPr>
        <w:t>nces produce a significantly higher level of candidate support across the different amount of contributions for the Dem</w:t>
      </w:r>
      <w:r w:rsidR="0009708C">
        <w:rPr>
          <w:rFonts w:eastAsia="PMingLiU"/>
        </w:rPr>
        <w:t>oc</w:t>
      </w:r>
      <w:r w:rsidR="00EF73BE">
        <w:rPr>
          <w:rFonts w:eastAsia="PMingLiU"/>
        </w:rPr>
        <w:t>ratic candidate</w:t>
      </w:r>
      <w:r w:rsidR="00B4297F">
        <w:rPr>
          <w:rFonts w:eastAsia="PMingLiU"/>
        </w:rPr>
        <w:t xml:space="preserve"> (p&lt;0.5)</w:t>
      </w:r>
      <w:r w:rsidR="00EF73BE">
        <w:rPr>
          <w:rFonts w:eastAsia="PMingLiU"/>
        </w:rPr>
        <w:t>, but such a difference is found for the Republican candidate only between the friends and acquaint</w:t>
      </w:r>
      <w:r w:rsidR="0009708C">
        <w:rPr>
          <w:rFonts w:eastAsia="PMingLiU"/>
        </w:rPr>
        <w:t>a</w:t>
      </w:r>
      <w:r w:rsidR="00EF73BE">
        <w:rPr>
          <w:rFonts w:eastAsia="PMingLiU"/>
        </w:rPr>
        <w:t>nces and trial law</w:t>
      </w:r>
      <w:r w:rsidR="0009708C">
        <w:rPr>
          <w:rFonts w:eastAsia="PMingLiU"/>
        </w:rPr>
        <w:t>y</w:t>
      </w:r>
      <w:r w:rsidR="00EF73BE">
        <w:rPr>
          <w:rFonts w:eastAsia="PMingLiU"/>
        </w:rPr>
        <w:t xml:space="preserve">ers </w:t>
      </w:r>
      <w:r w:rsidR="005608FE">
        <w:rPr>
          <w:rFonts w:eastAsia="PMingLiU"/>
        </w:rPr>
        <w:t xml:space="preserve">only </w:t>
      </w:r>
      <w:r w:rsidR="00EF73BE">
        <w:rPr>
          <w:rFonts w:eastAsia="PMingLiU"/>
        </w:rPr>
        <w:t>in the $50K condition.</w:t>
      </w:r>
      <w:r w:rsidRPr="00F32898">
        <w:rPr>
          <w:rFonts w:eastAsia="PMingLiU"/>
        </w:rPr>
        <w:t xml:space="preserve"> This suggests that information about campaign contributions doesn’t provide </w:t>
      </w:r>
      <w:r w:rsidRPr="00F32898">
        <w:rPr>
          <w:rFonts w:eastAsia="PMingLiU"/>
        </w:rPr>
        <w:lastRenderedPageBreak/>
        <w:t>voters with as much new, relevant information about Republican candidates as it does for Democratic candidates, particularly in a big-money race.</w:t>
      </w:r>
    </w:p>
    <w:p w14:paraId="36887A50" w14:textId="77777777" w:rsidR="00CD1F68" w:rsidRDefault="00D55B26" w:rsidP="00CD1F68">
      <w:pPr>
        <w:suppressAutoHyphens w:val="0"/>
        <w:autoSpaceDE w:val="0"/>
        <w:spacing w:line="480" w:lineRule="auto"/>
        <w:ind w:firstLine="800"/>
      </w:pPr>
      <w:r w:rsidRPr="00F32898">
        <w:t xml:space="preserve">The 2013 data in Figure 1 add </w:t>
      </w:r>
      <w:r w:rsidR="004B1B85" w:rsidRPr="00F32898">
        <w:t>a layer of s</w:t>
      </w:r>
      <w:r w:rsidRPr="00F32898">
        <w:t>ubtlety to the story</w:t>
      </w:r>
      <w:r w:rsidR="0026248F">
        <w:t>.</w:t>
      </w:r>
      <w:r w:rsidRPr="00F32898">
        <w:t xml:space="preserve"> While the oil industry is </w:t>
      </w:r>
      <w:r w:rsidR="001A0DC2">
        <w:t>overall</w:t>
      </w:r>
      <w:r w:rsidR="00C67119" w:rsidRPr="00F32898">
        <w:t xml:space="preserve"> </w:t>
      </w:r>
      <w:r w:rsidRPr="00F32898">
        <w:t>the least favored of the three funding sources</w:t>
      </w:r>
      <w:r w:rsidR="00C67119">
        <w:t xml:space="preserve"> (see Table 1)</w:t>
      </w:r>
      <w:r w:rsidRPr="00F32898">
        <w:t>, the magnitude of the effect depends on the candidate’s party and, to a lesser degree, contribution amount.</w:t>
      </w:r>
      <w:r w:rsidR="00C27318" w:rsidRPr="00F32898">
        <w:t xml:space="preserve"> </w:t>
      </w:r>
      <w:r w:rsidR="001A0DC2">
        <w:t>F</w:t>
      </w:r>
      <w:r w:rsidR="001A0DC2" w:rsidRPr="00F32898">
        <w:t>or a Republican Jones there is no statistically significant difference among the different contribution sources</w:t>
      </w:r>
      <w:r w:rsidR="001A0DC2">
        <w:t xml:space="preserve"> regardless of the contribution amount</w:t>
      </w:r>
      <w:r w:rsidR="001A0DC2" w:rsidRPr="00F32898">
        <w:t>.</w:t>
      </w:r>
      <w:r w:rsidR="001A0DC2">
        <w:t xml:space="preserve"> By contrast,</w:t>
      </w:r>
      <w:r w:rsidRPr="00F32898">
        <w:t xml:space="preserve"> the source effect under the $50K condition can be clearly observed for Democrat Jones, whose average support score in the oil industry condition (3.55) is significantly lower than in the green energy (4.79) and the friends and acquaintances (4.34) conditions</w:t>
      </w:r>
      <w:r w:rsidR="001A0DC2">
        <w:t xml:space="preserve"> (p &lt;0.01)</w:t>
      </w:r>
      <w:r w:rsidRPr="00F32898">
        <w:t xml:space="preserve">. When we move to the $20M condition, </w:t>
      </w:r>
      <w:r w:rsidR="001A0DC2">
        <w:t xml:space="preserve">the source does not make a statistically significant effect on the level </w:t>
      </w:r>
      <w:r w:rsidR="005608FE">
        <w:t>of candidate support</w:t>
      </w:r>
      <w:r w:rsidR="001A0DC2">
        <w:t xml:space="preserve"> (p=0.35). What is the most noticeable</w:t>
      </w:r>
      <w:r w:rsidR="005608FE">
        <w:t>, however,</w:t>
      </w:r>
      <w:r w:rsidR="001A0DC2">
        <w:t xml:space="preserve"> </w:t>
      </w:r>
      <w:r w:rsidR="00050134">
        <w:t xml:space="preserve">is the large drop </w:t>
      </w:r>
      <w:r w:rsidR="00FC1358" w:rsidRPr="00F32898">
        <w:t>when the big money comes from green energy companies</w:t>
      </w:r>
      <w:r w:rsidR="00CD1F68">
        <w:t>—33 percent</w:t>
      </w:r>
      <w:r w:rsidR="00050134" w:rsidRPr="00F32898">
        <w:t xml:space="preserve"> (from 4.79 to 3.19)</w:t>
      </w:r>
      <w:r w:rsidR="00FC1358" w:rsidRPr="00F32898">
        <w:t>. This decline is the largest across all experiment conditions in the 2013 survey. Why such a powerful negative reaction? Perhaps a $50K contribution suggests a conventional link between the party and its pro-environmental agenda</w:t>
      </w:r>
      <w:r w:rsidR="005608FE">
        <w:t>, thus boosting the candidate support</w:t>
      </w:r>
      <w:r w:rsidR="00FC1358" w:rsidRPr="00F32898">
        <w:t>, while a $20M contribution indicates excess and corruption. This effect, however, is only for the Democratic candidate—when Republican Jones gets $20M in contributions from green energy companies, he does only slightly less well than in the $50K condition.</w:t>
      </w:r>
    </w:p>
    <w:p w14:paraId="29D965AB" w14:textId="38EB9D5B" w:rsidR="00517362" w:rsidRDefault="003102AF" w:rsidP="00CD1F68">
      <w:pPr>
        <w:suppressAutoHyphens w:val="0"/>
        <w:autoSpaceDE w:val="0"/>
        <w:spacing w:line="480" w:lineRule="auto"/>
        <w:ind w:firstLine="800"/>
      </w:pPr>
      <w:r>
        <w:t xml:space="preserve">In sum, we can conclude that in general the contribution source rather than the amount makes a difference in voters’ decision making with the exception of the large donations from green energy industry to a Democratic candidate. In addition, </w:t>
      </w:r>
      <w:r w:rsidR="007742C7">
        <w:t>the candidate’s party</w:t>
      </w:r>
      <w:r>
        <w:t xml:space="preserve"> also conditions the effect of campaign finance information. The results rather clearly show that </w:t>
      </w:r>
      <w:r>
        <w:lastRenderedPageBreak/>
        <w:t xml:space="preserve">contribution source effects are generally larger for a Democratic candidate than for a Republican counterpart.  </w:t>
      </w:r>
    </w:p>
    <w:p w14:paraId="141E1DB3" w14:textId="08550DBF" w:rsidR="00517362" w:rsidRDefault="00517362" w:rsidP="00CD1F68">
      <w:pPr>
        <w:autoSpaceDE w:val="0"/>
        <w:spacing w:line="480" w:lineRule="auto"/>
      </w:pPr>
    </w:p>
    <w:p w14:paraId="0416AF61" w14:textId="77777777" w:rsidR="00D55B26" w:rsidRPr="00F32898" w:rsidRDefault="00D55B26" w:rsidP="00F32898">
      <w:pPr>
        <w:autoSpaceDE w:val="0"/>
        <w:spacing w:line="480" w:lineRule="auto"/>
        <w:rPr>
          <w:u w:val="single"/>
        </w:rPr>
      </w:pPr>
      <w:r w:rsidRPr="00F32898">
        <w:rPr>
          <w:u w:val="single"/>
        </w:rPr>
        <w:t>Are there Differences by Respondents’ Partisanship?</w:t>
      </w:r>
    </w:p>
    <w:p w14:paraId="7552CE83" w14:textId="77777777" w:rsidR="00D55B26" w:rsidRPr="00F32898" w:rsidRDefault="00D55B26" w:rsidP="00F32898">
      <w:pPr>
        <w:autoSpaceDE w:val="0"/>
        <w:spacing w:line="480" w:lineRule="auto"/>
        <w:ind w:firstLine="706"/>
        <w:rPr>
          <w:u w:val="single"/>
        </w:rPr>
      </w:pPr>
      <w:r w:rsidRPr="00F32898">
        <w:t xml:space="preserve">One possibility discussed earlier that we have not yet explored is that the party identification of voters shapes their response to information about contribution source and amount. </w:t>
      </w:r>
      <w:r w:rsidR="00967F42">
        <w:t>W</w:t>
      </w:r>
      <w:r w:rsidRPr="00F32898">
        <w:t>e know partisans are likely to reject the out-party candidate,</w:t>
      </w:r>
      <w:r w:rsidR="00C27318" w:rsidRPr="00F32898">
        <w:t xml:space="preserve"> </w:t>
      </w:r>
      <w:r w:rsidRPr="00F32898">
        <w:t xml:space="preserve">so a critical question is whether campaign contribution information affects the enthusiasm of partisans for their own candidate. The other important question is whether (and how) independent voters are influenced by contribution information about Democratic and Republican candidates. In light of this, we re-sort the results of the experiment, separating respondents by their party identification. Collectively, our data analysis shows the continued and powerful effects of party on voter decision-making. </w:t>
      </w:r>
    </w:p>
    <w:p w14:paraId="04C9733A" w14:textId="77777777" w:rsidR="00D55B26" w:rsidRPr="00F32898" w:rsidRDefault="00D55B26" w:rsidP="00F32898">
      <w:pPr>
        <w:autoSpaceDE w:val="0"/>
        <w:spacing w:line="480" w:lineRule="auto"/>
        <w:ind w:firstLine="706"/>
      </w:pPr>
      <w:r w:rsidRPr="00F32898">
        <w:t>In Figures 2A and 2B, we segment the experimental treatments by respondent party identification.</w:t>
      </w:r>
      <w:r w:rsidR="00B67A1D" w:rsidRPr="00F32898">
        <w:rPr>
          <w:rStyle w:val="CommentReference"/>
          <w:sz w:val="24"/>
        </w:rPr>
        <w:t xml:space="preserve"> </w:t>
      </w:r>
      <w:r w:rsidRPr="00F32898">
        <w:t xml:space="preserve">We find a strong and consistent tendency for </w:t>
      </w:r>
      <w:r w:rsidR="00967F42">
        <w:t xml:space="preserve">voters to </w:t>
      </w:r>
      <w:r w:rsidRPr="00F32898">
        <w:t>reject a candidate from the other side of the partisan aisle; they are therefore relatively unaffected by information about campaign contribution source or amount. Voters do respond to information about their own party’s candidate, however, as</w:t>
      </w:r>
      <w:r w:rsidR="00C27318" w:rsidRPr="00F32898">
        <w:t xml:space="preserve"> </w:t>
      </w:r>
      <w:r w:rsidRPr="00F32898">
        <w:t>both Democrats and Republicans are more likely to support in-party candidates when those candidates receive campaign contributions from friends and acquaintances.</w:t>
      </w:r>
      <w:r w:rsidRPr="00F32898">
        <w:rPr>
          <w:rStyle w:val="FootnoteReference"/>
        </w:rPr>
        <w:footnoteReference w:id="14"/>
      </w:r>
    </w:p>
    <w:p w14:paraId="6627FEAB" w14:textId="1DDDEFDF" w:rsidR="00D55B26" w:rsidRPr="00F32898" w:rsidRDefault="00D55B26" w:rsidP="00F32898">
      <w:pPr>
        <w:autoSpaceDE w:val="0"/>
        <w:spacing w:line="480" w:lineRule="auto"/>
        <w:ind w:firstLine="706"/>
      </w:pPr>
      <w:r w:rsidRPr="00F32898">
        <w:lastRenderedPageBreak/>
        <w:t>As shown in Figure 2A, the 2009 experiment</w:t>
      </w:r>
      <w:r w:rsidR="00C27318" w:rsidRPr="00F32898">
        <w:t xml:space="preserve"> </w:t>
      </w:r>
      <w:r w:rsidRPr="00F32898">
        <w:t>results tell us that Republican respondents are much more likely to support Republican Jones than Democrat Jones. They also prefer friends and acquaintances to the other two contribution sources, while favoring trial lawyers the least.</w:t>
      </w:r>
      <w:r w:rsidR="00481E68">
        <w:t xml:space="preserve"> </w:t>
      </w:r>
      <w:r w:rsidRPr="00F32898">
        <w:t xml:space="preserve">Yet, the size of the source effects depends on the candidate’s party and contribution amount. In the case of a Republican candidate, </w:t>
      </w:r>
      <w:r w:rsidR="00481E68">
        <w:t>when the contribution amount is $50K,</w:t>
      </w:r>
      <w:r w:rsidR="005D2661">
        <w:t xml:space="preserve"> </w:t>
      </w:r>
      <w:r w:rsidRPr="00F32898">
        <w:t>their preference for friends and acquaintances over trial lawyers</w:t>
      </w:r>
      <w:r w:rsidR="00C27318" w:rsidRPr="00F32898">
        <w:t xml:space="preserve"> </w:t>
      </w:r>
      <w:r w:rsidRPr="00F32898">
        <w:t>is statistically significant</w:t>
      </w:r>
      <w:r w:rsidR="00481E68">
        <w:t xml:space="preserve"> (p&lt;0.01)</w:t>
      </w:r>
      <w:r w:rsidRPr="00F32898">
        <w:t>, while their preference for friends and acquaintances over the tobacco industry is not. When evaluating a Democratic candidate, typically neither source nor amount has a significant effect on the support level. Note, however, that a large contribution from the least favored group—trial lawyers—does reduce the level of support significantly</w:t>
      </w:r>
      <w:r w:rsidR="00481E68">
        <w:t xml:space="preserve"> </w:t>
      </w:r>
      <w:r w:rsidRPr="00F32898">
        <w:t>Democratic respondents’ most preferred funding source is friends and acquaintances and the least preferred is the tobacco industry. The differences in support by funding sources are significant for a Democratic Jones (</w:t>
      </w:r>
      <w:r w:rsidRPr="00F32898">
        <w:rPr>
          <w:i/>
        </w:rPr>
        <w:t>p</w:t>
      </w:r>
      <w:r w:rsidRPr="00F32898">
        <w:t xml:space="preserve">&lt; 0.05). </w:t>
      </w:r>
      <w:r w:rsidR="00DC2A22">
        <w:t>Overall,</w:t>
      </w:r>
      <w:r w:rsidRPr="00F32898">
        <w:t xml:space="preserve"> Democrats do not seem to factor in campaign finance information about the other side’s candidate, while they do so for their own. </w:t>
      </w:r>
    </w:p>
    <w:p w14:paraId="2761E1FB" w14:textId="77777777" w:rsidR="00D55B26" w:rsidRPr="00F32898" w:rsidRDefault="00D55B26" w:rsidP="00F32898">
      <w:pPr>
        <w:autoSpaceDE w:val="0"/>
        <w:spacing w:line="480" w:lineRule="auto"/>
        <w:ind w:firstLine="706"/>
      </w:pPr>
      <w:r w:rsidRPr="00F32898">
        <w:t>It is intriguing to observe that a candidate’s party does condition how independent voters view information about campaign contributions. Earlier in the study, we suggested this might be the case. Independents are much less likely to support a Democratic Jones receiving money from either trial lawyers or tobacco companies</w:t>
      </w:r>
      <w:r w:rsidR="00DC2A22">
        <w:t xml:space="preserve"> (</w:t>
      </w:r>
      <w:r w:rsidR="00905DB9">
        <w:t>p&lt;0.05)</w:t>
      </w:r>
      <w:r w:rsidRPr="00F32898">
        <w:t xml:space="preserve">. By contrast, independent voters are almost completely unaffected by contribution source when considering a Republican Jones. Furthermore, as with partisans, contribution amount does not have any substantial influence on </w:t>
      </w:r>
      <w:r w:rsidRPr="00F32898">
        <w:lastRenderedPageBreak/>
        <w:t xml:space="preserve">independents.  </w:t>
      </w:r>
    </w:p>
    <w:p w14:paraId="71271753" w14:textId="77777777" w:rsidR="00D55B26" w:rsidRPr="00F32898" w:rsidRDefault="00D55B26" w:rsidP="008B6040">
      <w:pPr>
        <w:autoSpaceDE w:val="0"/>
        <w:spacing w:line="480" w:lineRule="auto"/>
        <w:jc w:val="center"/>
      </w:pPr>
      <w:r w:rsidRPr="00F32898">
        <w:t>[Figure 2A about here]</w:t>
      </w:r>
    </w:p>
    <w:p w14:paraId="03B6AD63" w14:textId="0E5D3A30" w:rsidR="00D55B26" w:rsidRPr="00F32898" w:rsidRDefault="00D55B26" w:rsidP="00F32898">
      <w:pPr>
        <w:spacing w:line="480" w:lineRule="auto"/>
        <w:ind w:firstLine="706"/>
      </w:pPr>
      <w:r w:rsidRPr="00F32898">
        <w:t>Looking at the 2013 experiment (Figure 2B), we again witness partisan differences in evaluating campaign finance information. In general, Republican respondents (as in 2009) are most supportive of a candidate who receives contributions from friends and acquaintances, and are least supportive of a candidate who receives contributions from the green energy industry.</w:t>
      </w:r>
      <w:r w:rsidRPr="00F32898">
        <w:rPr>
          <w:rStyle w:val="FootnoteReference"/>
        </w:rPr>
        <w:footnoteReference w:id="15"/>
      </w:r>
      <w:r w:rsidR="00C27318" w:rsidRPr="00F32898">
        <w:t xml:space="preserve"> </w:t>
      </w:r>
      <w:r w:rsidRPr="00F32898">
        <w:t xml:space="preserve">With the exception of the $20M/green energy condition, Republican respondents do not show differences in support for a Democratic Jones by contribution source, however, whereas they are differentially predisposed towards a Republican Jones (contributions from friends and acquaintances are preferred to those from oil companies, </w:t>
      </w:r>
      <w:r w:rsidRPr="00F32898">
        <w:rPr>
          <w:i/>
        </w:rPr>
        <w:t>p</w:t>
      </w:r>
      <w:r w:rsidRPr="00F32898">
        <w:t>&lt; 0.</w:t>
      </w:r>
      <w:r w:rsidR="00FF606C">
        <w:t>1</w:t>
      </w:r>
      <w:r w:rsidRPr="00F32898">
        <w:t xml:space="preserve">; oil company contributions are preferred to those from green energy, </w:t>
      </w:r>
      <w:r w:rsidRPr="00F32898">
        <w:rPr>
          <w:i/>
        </w:rPr>
        <w:t>p</w:t>
      </w:r>
      <w:r w:rsidRPr="00F32898">
        <w:t xml:space="preserve">&lt; 0.01). </w:t>
      </w:r>
    </w:p>
    <w:p w14:paraId="1226678A" w14:textId="77777777" w:rsidR="00D55B26" w:rsidRPr="00F32898" w:rsidRDefault="00D55B26" w:rsidP="00F32898">
      <w:pPr>
        <w:spacing w:line="480" w:lineRule="auto"/>
        <w:ind w:firstLine="706"/>
      </w:pPr>
      <w:r w:rsidRPr="00F32898">
        <w:t>Democrats prefer green energy companies over other funding sources, irrespective of Jones’ party. The only instance in which they favor another funding source (friends and acquaintances) is for Democrat Jones at the $20M mark. By contrast, their preference for friends and acquaintances over the oil industry is only significant for Democrat Jones; this tendency is decidedly insignificant for Republican Jones.</w:t>
      </w:r>
    </w:p>
    <w:p w14:paraId="5EA86529" w14:textId="7F34C073" w:rsidR="00757B4B" w:rsidRDefault="00D55B26" w:rsidP="00F32898">
      <w:pPr>
        <w:spacing w:line="480" w:lineRule="auto"/>
        <w:ind w:firstLine="706"/>
      </w:pPr>
      <w:r w:rsidRPr="00700704">
        <w:t>Similar to Democrats, independents are less likely to support candidates who draw money from oil companies, while being equally supportive of candidates who gather money from green energy companies or friends and acquaintances. When considering a Republican candidate, the funding source does not matter. A somewhat greater effect is found for Democrat Jones (</w:t>
      </w:r>
      <w:r w:rsidRPr="00700704">
        <w:rPr>
          <w:i/>
        </w:rPr>
        <w:t>p</w:t>
      </w:r>
      <w:r w:rsidRPr="00700704">
        <w:t xml:space="preserve">&lt; </w:t>
      </w:r>
      <w:r w:rsidRPr="00700704">
        <w:lastRenderedPageBreak/>
        <w:t>0.07), although this effect is driven by the disdain of independent voters for lower level contributions from the oil companies. While the contribution amount in general does not make a difference in independents’ evaluation of Jones, independent voters join their Republican and Democratic counter-parts in disliking Democratic candidates who get $20M from green energy companies.</w:t>
      </w:r>
      <w:r w:rsidR="00757B4B">
        <w:t xml:space="preserve"> The difference in means in the $20mil and $50K conditions for the green energy contribution to the Democratic candidate is also statistically significant at p=0.01. </w:t>
      </w:r>
    </w:p>
    <w:p w14:paraId="7D3DBD98" w14:textId="7EB1AABE" w:rsidR="00757B4B" w:rsidRDefault="00757B4B" w:rsidP="00F32898">
      <w:pPr>
        <w:spacing w:line="480" w:lineRule="auto"/>
        <w:ind w:firstLine="706"/>
      </w:pPr>
      <w:r>
        <w:t xml:space="preserve">The findings in Figures 2A and 2B are in general consistent with our </w:t>
      </w:r>
      <w:r w:rsidR="00396D6C">
        <w:t>expectations. Campaign finance information</w:t>
      </w:r>
      <w:r w:rsidR="00A34587">
        <w:t xml:space="preserve"> concerning an in-party candidate</w:t>
      </w:r>
      <w:r w:rsidR="00FA6A67">
        <w:t xml:space="preserve"> </w:t>
      </w:r>
      <w:r w:rsidR="00A34587">
        <w:t>provides more meaningful cues to party identifiers, while independent voters consider it more seriously when they evaluate a Democratic candidate</w:t>
      </w:r>
      <w:r w:rsidR="008E5957">
        <w:t xml:space="preserve"> than a Republican</w:t>
      </w:r>
      <w:r w:rsidR="00A34587">
        <w:t>.</w:t>
      </w:r>
      <w:r w:rsidR="008E5957">
        <w:t xml:space="preserve"> The large sum of contribution to a Dem</w:t>
      </w:r>
      <w:r w:rsidR="005D2661">
        <w:t>o</w:t>
      </w:r>
      <w:r w:rsidR="008E5957">
        <w:t xml:space="preserve">cratic candidate from the green energy industry, on the other hand, raises a red flag across the partisan spectrum. </w:t>
      </w:r>
    </w:p>
    <w:p w14:paraId="3027D955" w14:textId="77777777" w:rsidR="00D55B26" w:rsidRPr="005D2661" w:rsidRDefault="00D55B26" w:rsidP="005D2661">
      <w:pPr>
        <w:autoSpaceDE w:val="0"/>
        <w:spacing w:line="480" w:lineRule="auto"/>
        <w:jc w:val="center"/>
        <w:rPr>
          <w:color w:val="FFFFFF" w:themeColor="background1"/>
        </w:rPr>
      </w:pPr>
      <w:r w:rsidRPr="00700704">
        <w:t>[Figure 2B about here]</w:t>
      </w:r>
    </w:p>
    <w:p w14:paraId="7299131C" w14:textId="77777777" w:rsidR="005D2661" w:rsidRDefault="005D2661" w:rsidP="00F32898">
      <w:pPr>
        <w:autoSpaceDE w:val="0"/>
        <w:spacing w:line="480" w:lineRule="auto"/>
        <w:rPr>
          <w:u w:val="single"/>
          <w:lang w:eastAsia="ko-KR"/>
        </w:rPr>
      </w:pPr>
    </w:p>
    <w:p w14:paraId="03C95FA9" w14:textId="77777777" w:rsidR="00D55B26" w:rsidRPr="00F32898" w:rsidRDefault="009D4635" w:rsidP="00F32898">
      <w:pPr>
        <w:autoSpaceDE w:val="0"/>
        <w:spacing w:line="480" w:lineRule="auto"/>
        <w:rPr>
          <w:u w:val="single"/>
        </w:rPr>
      </w:pPr>
      <w:r>
        <w:rPr>
          <w:u w:val="single"/>
          <w:lang w:eastAsia="ko-KR"/>
        </w:rPr>
        <w:t>Multivariate Tests</w:t>
      </w:r>
    </w:p>
    <w:p w14:paraId="5F677856" w14:textId="77777777" w:rsidR="00D55B26" w:rsidRPr="00F32898" w:rsidRDefault="00D55B26" w:rsidP="00F32898">
      <w:pPr>
        <w:autoSpaceDE w:val="0"/>
        <w:spacing w:line="480" w:lineRule="auto"/>
        <w:ind w:firstLine="709"/>
      </w:pPr>
      <w:r w:rsidRPr="00F32898">
        <w:t>Although simple means comparison tests are highly instructive, we need to ensure that the effects noted above are not influenced by systematic differences in assignment to</w:t>
      </w:r>
      <w:r w:rsidR="00A36656" w:rsidRPr="00F32898">
        <w:t xml:space="preserve"> treatment groups. As Imai (2005</w:t>
      </w:r>
      <w:r w:rsidRPr="00F32898">
        <w:t xml:space="preserve">) notes, random assignment does not necessarily eliminate the possibility that estimated effects are driven by demographic or attitudinal variance between and amongst cell populations. To control for this possibility and to specify conditional effects, we offer multivariate models of support for candidate Jones. </w:t>
      </w:r>
    </w:p>
    <w:p w14:paraId="1F805FF3" w14:textId="77777777" w:rsidR="00D55B26" w:rsidRPr="00F32898" w:rsidRDefault="00D55B26" w:rsidP="00F32898">
      <w:pPr>
        <w:autoSpaceDE w:val="0"/>
        <w:spacing w:line="480" w:lineRule="auto"/>
        <w:ind w:firstLine="709"/>
        <w:rPr>
          <w:lang w:eastAsia="ko-KR"/>
        </w:rPr>
      </w:pPr>
      <w:r w:rsidRPr="00F32898">
        <w:t xml:space="preserve">Given our continuous measure and the plausibility of I.I.A. assumptions, we use an ordinary least squares estimator to analyze the effects of our identified factors on support </w:t>
      </w:r>
      <w:r w:rsidRPr="00F32898">
        <w:lastRenderedPageBreak/>
        <w:t>probability. The dependent variable is the 0-10 level of support for Jones, our hypothetical U.S. Senate candidate. Our key independent variables include the source and amount of contributions to Jones, along with Jones’s party.</w:t>
      </w:r>
      <w:r w:rsidRPr="00F32898">
        <w:rPr>
          <w:lang w:eastAsia="ko-KR"/>
        </w:rPr>
        <w:t xml:space="preserve"> In addition, we control for a range of political and demographic variables that—were they not randomly distributed—might account for variation in vote intention. More specifically, we offer controls for the </w:t>
      </w:r>
      <w:r w:rsidRPr="00F32898">
        <w:t xml:space="preserve">respondent’s party identification (Republican, </w:t>
      </w:r>
      <w:r w:rsidR="00C27318" w:rsidRPr="00F32898">
        <w:t>independent</w:t>
      </w:r>
      <w:r w:rsidRPr="00F32898">
        <w:t xml:space="preserve">, and Democrat), age, education, income, union household status (2009 only), gender, and general political knowledge. Importantly, we estimate separate models for Republican, Democratic, and independent respondents. Finally, </w:t>
      </w:r>
      <w:r w:rsidRPr="00F32898">
        <w:rPr>
          <w:lang w:eastAsia="ko-KR"/>
        </w:rPr>
        <w:t>we also add a composite index of the respondents’ perception of corruption in politics, with which we can test the Court’s assumption that such a perception might influence voting behavior.</w:t>
      </w:r>
      <w:r w:rsidRPr="00F32898">
        <w:rPr>
          <w:rStyle w:val="FootnoteReference"/>
          <w:lang w:eastAsia="ko-KR"/>
        </w:rPr>
        <w:footnoteReference w:id="16"/>
      </w:r>
    </w:p>
    <w:p w14:paraId="1AEDA58D" w14:textId="77777777" w:rsidR="00D55B26" w:rsidRPr="00F32898" w:rsidRDefault="00D55B26" w:rsidP="00F32898">
      <w:pPr>
        <w:autoSpaceDE w:val="0"/>
        <w:spacing w:line="480" w:lineRule="auto"/>
        <w:ind w:firstLine="709"/>
      </w:pPr>
      <w:r w:rsidRPr="00F32898">
        <w:t>Table 2 focuses on 2009 and offers the regression estimates of the base and full models with all respondents, Republicans, Democrats, and independents, respectively. Notice that the full models include multiplicative interaction terms for contribution source and the candidate’s party. Other potential interactive relationships were estimated (including those between the candidate’s party and contribution amount, and between contribution source and amount), but none proved significant. We also included the 3-way interaction term for contribution from trial lawyers, contribution amount, and a Democratic candidate, to account for the preliminary finding that the mean di</w:t>
      </w:r>
      <w:r w:rsidR="00D37E6F">
        <w:t>fference between $50K and $20Mil</w:t>
      </w:r>
      <w:r w:rsidRPr="00F32898">
        <w:t xml:space="preserve"> contributions from trial lawyers to a Democratic candidate is significant among Republican respondents (this finding is confirmed by the multivariate model).</w:t>
      </w:r>
    </w:p>
    <w:p w14:paraId="29F4D583" w14:textId="77777777" w:rsidR="00D55B26" w:rsidRPr="00F32898" w:rsidRDefault="00D55B26" w:rsidP="00F32898">
      <w:pPr>
        <w:autoSpaceDE w:val="0"/>
        <w:spacing w:line="480" w:lineRule="auto"/>
        <w:ind w:firstLine="709"/>
        <w:rPr>
          <w:lang w:eastAsia="ko-KR"/>
        </w:rPr>
      </w:pPr>
      <w:r w:rsidRPr="00F32898">
        <w:t xml:space="preserve"> The interaction coefficients should be judged against the baseline category: Jones is an </w:t>
      </w:r>
      <w:r w:rsidRPr="00F32898">
        <w:lastRenderedPageBreak/>
        <w:t>independent candidate who has received $50K from friends and acquaintances. For the three-way interaction term, the baseline category is slightly different: it would be a non-Democratic candidate who has received $50K from the tobacco industry or friends and acquaintances.</w:t>
      </w:r>
    </w:p>
    <w:p w14:paraId="30AFBA6A" w14:textId="77777777" w:rsidR="00D55B26" w:rsidRPr="00F32898" w:rsidRDefault="00D55B26" w:rsidP="00F32898">
      <w:pPr>
        <w:autoSpaceDE w:val="0"/>
        <w:spacing w:line="480" w:lineRule="auto"/>
        <w:ind w:firstLine="709"/>
      </w:pPr>
      <w:r w:rsidRPr="00F32898">
        <w:t xml:space="preserve">In examining the models in Table 2, we note that only one of the control variables—the respondent’s identification as a Democrat—has any influence on the probability of supporting Jones. This persists even when controlling for different treatments. Perceptions of corruption (another attitude) also exert a statistically significant influence on support even after controlling for different treatments. </w:t>
      </w:r>
      <w:r w:rsidR="009D4635">
        <w:t xml:space="preserve">Put plainly, </w:t>
      </w:r>
      <w:r w:rsidRPr="00F32898">
        <w:t>those who think the system is corrupt are less likely to support Jones. These results, in addition to other checks of randomization in the assignment of treatments, strongly indicate that the experimental design “worked.”</w:t>
      </w:r>
    </w:p>
    <w:p w14:paraId="608F3458" w14:textId="77777777" w:rsidR="00D55B26" w:rsidRPr="00F32898" w:rsidRDefault="00D55B26" w:rsidP="00F32898">
      <w:pPr>
        <w:autoSpaceDE w:val="0"/>
        <w:spacing w:line="480" w:lineRule="auto"/>
        <w:ind w:firstLine="709"/>
      </w:pPr>
      <w:r w:rsidRPr="00F32898">
        <w:t xml:space="preserve">The models also reinforce our earlier results: candidate support is not influenced by contribution amounts. However, as suggested earlier, the source of campaign contributions exerts a significant impact: compared to contributions made by friends and acquaintances, those from the tobacco industry or trial lawyers decrease the likelihood of supporting Jones. For example, campaign donations to Jones from tobacco companies decrease the likelihood of voting for him by almost one point on a 0-10 scale, holding other factors constant. A similar but slightly lesser effect is found in the case of trial lawyers. </w:t>
      </w:r>
    </w:p>
    <w:p w14:paraId="70D80AE1" w14:textId="77777777" w:rsidR="00D55B26" w:rsidRPr="00F32898" w:rsidRDefault="00D55B26" w:rsidP="00F32898">
      <w:pPr>
        <w:autoSpaceDE w:val="0"/>
        <w:spacing w:line="480" w:lineRule="auto"/>
        <w:ind w:firstLine="709"/>
      </w:pPr>
      <w:r w:rsidRPr="00F32898">
        <w:t>As for the candidate’s partisanship, we again find that when Jones was presented as a Republican candidate</w:t>
      </w:r>
      <w:r w:rsidRPr="00F32898">
        <w:rPr>
          <w:lang w:eastAsia="ko-KR"/>
        </w:rPr>
        <w:t>,</w:t>
      </w:r>
      <w:r w:rsidRPr="00F32898">
        <w:t xml:space="preserve"> the vote probability score is significantly greater than when he is an independent or a Democrat, </w:t>
      </w:r>
      <w:r w:rsidRPr="00F32898">
        <w:rPr>
          <w:i/>
        </w:rPr>
        <w:t>even controlling for the respondent’s party identification</w:t>
      </w:r>
      <w:r w:rsidRPr="00F32898">
        <w:t xml:space="preserve">. The data here clearly foretell subsequent GOP triumphs in Virginia, New Jersey, and Massachusetts, where Democratic candidates were swamped by an energized GOP base and disgruntled independent voters in November 2009 and January 2010 (respectively). </w:t>
      </w:r>
    </w:p>
    <w:p w14:paraId="2B263DB2" w14:textId="77777777" w:rsidR="00D55B26" w:rsidRPr="00F32898" w:rsidRDefault="00D55B26" w:rsidP="00F32898">
      <w:pPr>
        <w:autoSpaceDE w:val="0"/>
        <w:spacing w:line="480" w:lineRule="auto"/>
        <w:ind w:firstLine="709"/>
      </w:pPr>
      <w:r w:rsidRPr="00F32898">
        <w:lastRenderedPageBreak/>
        <w:t xml:space="preserve">What of the interactive relationship between the candidate’s party and contributions? Results of the full model show that the candidate’s partisanship does indeed change the relative importance of funding sources in the vote decision. More specifically, the interaction effect is statistically significant when Jones is identified as a GOP candidate and contributions come from the tobacco industry. Furthermore, in this instance (when Jones is identified as a Republican), the overall effect associated with contribution source disappears. All of this means that </w:t>
      </w:r>
      <w:r w:rsidRPr="00F32898">
        <w:rPr>
          <w:lang w:eastAsia="ko-KR"/>
        </w:rPr>
        <w:t>w</w:t>
      </w:r>
      <w:r w:rsidRPr="00F32898">
        <w:t xml:space="preserve">hen the candidate is Republican, the negative effects associated with campaign contributions from the tobacco industry and trial lawyers (to a lesser degree) decline. When the candidate is Democratic, the negative effect of tobacco contributions is reduced in comparison with an independent candidate, but they still decrease his support.  </w:t>
      </w:r>
    </w:p>
    <w:p w14:paraId="75199520" w14:textId="77777777" w:rsidR="00D55B26" w:rsidRPr="00F32898" w:rsidRDefault="00D55B26" w:rsidP="00F32898">
      <w:pPr>
        <w:autoSpaceDE w:val="0"/>
        <w:spacing w:line="480" w:lineRule="auto"/>
        <w:ind w:firstLine="709"/>
      </w:pPr>
      <w:r w:rsidRPr="00F32898">
        <w:rPr>
          <w:lang w:eastAsia="ko-KR"/>
        </w:rPr>
        <w:t xml:space="preserve">These findings suggest that </w:t>
      </w:r>
      <w:r w:rsidRPr="00F32898">
        <w:t xml:space="preserve">when Jones is labeled as independent, the contribution source effect is largest. Indeed, these regression results show that Republican candidates are relatively immune to negative blow-back from financial connections with corporations or special interest groups. The public's expectations seem to be that independent and (to a lesser extent) Democratic candidates are less tied to corporate interests so that information establishing such a connection has a more dramatic influence on voters’ appraisals. Conversely, voters are in general more tolerant of the Republican Party regarding the potential influence of corporate or special interest groups, perhaps because the GOP is already assumed to be sympathetic to corporate interests. </w:t>
      </w:r>
    </w:p>
    <w:p w14:paraId="717AE70E" w14:textId="77777777" w:rsidR="00D55B26" w:rsidRPr="00F32898" w:rsidRDefault="00D55B26" w:rsidP="00F32898">
      <w:pPr>
        <w:autoSpaceDE w:val="0"/>
        <w:spacing w:line="480" w:lineRule="auto"/>
        <w:ind w:firstLine="709"/>
      </w:pPr>
      <w:r w:rsidRPr="00F32898">
        <w:t xml:space="preserve">The last three columns of Table 2 report the regression estimates by respondents’ party identification. The results further demonstrate that voters’ partisanship affects the role of campaign finance information in evaluating a candidate. First of all, partisans (and nonpartisans) have different preferences over the funding sources. Even though friends and acquaintances rank ahead of the other two sources, Republicans prefer tobacco companies to trial lawyers while both </w:t>
      </w:r>
      <w:r w:rsidRPr="00F32898">
        <w:lastRenderedPageBreak/>
        <w:t xml:space="preserve">Democrats and independents prefer trial lawyers to tobacco companies. </w:t>
      </w:r>
    </w:p>
    <w:p w14:paraId="12FEFCCC" w14:textId="77777777" w:rsidR="00D55B26" w:rsidRPr="00F32898" w:rsidRDefault="00D55B26" w:rsidP="00F32898">
      <w:pPr>
        <w:autoSpaceDE w:val="0"/>
        <w:spacing w:line="480" w:lineRule="auto"/>
        <w:ind w:firstLine="709"/>
      </w:pPr>
      <w:r w:rsidRPr="00F32898">
        <w:t xml:space="preserve">Secondly, for Democrats and independents, the negative effect of tobacco contributions is not significant for evaluating a Republican candidate. Republicans, however, are significantly more positive towards a Democratic candidate if he receives $50K in contributions from trial lawyers compared to other contribution sources and amounts. Put in more precise statistical terms, the coefficient for the interaction term between trial lawyers and a Democratic candidate (2.07) outweighs the negative coefficient of trial lawyer (-1.86). Furthermore, Republicans are much less supportive of a Democratic candidate who receives $20M (compared to $50K) from the trial lawyers. This effect does not exist among Democrats or independents. In many ways, this finding is exceptional: contribution amount matters but only for a specific source (trial lawyers) and only among a specific partisan group (i.e., Republicans). It also contradicts the more general result that Republicans are unaffected by contribution information when it comes to Democratic candidates  </w:t>
      </w:r>
    </w:p>
    <w:p w14:paraId="5B34E990" w14:textId="77777777" w:rsidR="00D55B26" w:rsidRPr="00F32898" w:rsidRDefault="00D55B26" w:rsidP="00F32898">
      <w:pPr>
        <w:autoSpaceDE w:val="0"/>
        <w:spacing w:line="480" w:lineRule="auto"/>
        <w:jc w:val="center"/>
      </w:pPr>
      <w:r w:rsidRPr="00F32898">
        <w:t xml:space="preserve">[Table </w:t>
      </w:r>
      <w:r w:rsidRPr="00F32898">
        <w:rPr>
          <w:lang w:eastAsia="ko-KR"/>
        </w:rPr>
        <w:t xml:space="preserve">2 </w:t>
      </w:r>
      <w:r w:rsidRPr="00F32898">
        <w:t>about here]</w:t>
      </w:r>
    </w:p>
    <w:p w14:paraId="17F10FC8" w14:textId="77777777" w:rsidR="00D55B26" w:rsidRPr="00F32898" w:rsidRDefault="00D55B26" w:rsidP="00F32898">
      <w:pPr>
        <w:autoSpaceDE w:val="0"/>
        <w:spacing w:line="480" w:lineRule="auto"/>
        <w:ind w:firstLine="706"/>
      </w:pPr>
      <w:r w:rsidRPr="00F32898">
        <w:t>Table 3 reports the regression estimates based on the 2013 survey. We tried to make the models as comparable as possible to 2009, and deviated only when important substantive improvements could be made.</w:t>
      </w:r>
      <w:r w:rsidRPr="00F32898">
        <w:rPr>
          <w:rStyle w:val="FootnoteReference"/>
        </w:rPr>
        <w:footnoteReference w:id="17"/>
      </w:r>
      <w:r w:rsidRPr="00F32898">
        <w:t xml:space="preserve"> Taken as a whole, the estimated results reaffirm what we find in the 2009 analyses, while displaying some unique dynamics given the different funding source treatments and the timing of the survey. </w:t>
      </w:r>
    </w:p>
    <w:p w14:paraId="15F736AA" w14:textId="77777777" w:rsidR="00D55B26" w:rsidRPr="00F32898" w:rsidRDefault="00D55B26" w:rsidP="00F32898">
      <w:pPr>
        <w:autoSpaceDE w:val="0"/>
        <w:spacing w:line="480" w:lineRule="auto"/>
        <w:ind w:firstLine="706"/>
      </w:pPr>
      <w:r w:rsidRPr="00F32898">
        <w:t xml:space="preserve">As with the 2009 analysis, the base model shows that the source, not the amount, is more </w:t>
      </w:r>
      <w:r w:rsidRPr="00F32898">
        <w:lastRenderedPageBreak/>
        <w:t xml:space="preserve">salient information for candidate evaluations. Oil industry contributions significantly reduce the level of likelihood of supporting Jones compared to contributions from friends and acquaintances (coefficient = -0.554, </w:t>
      </w:r>
      <w:r w:rsidRPr="00F32898">
        <w:rPr>
          <w:i/>
        </w:rPr>
        <w:t xml:space="preserve">p </w:t>
      </w:r>
      <w:r w:rsidRPr="00F32898">
        <w:t xml:space="preserve">&lt; 0.01). Green energy contributions, however, have a marginally significant effect (coefficient = -0.335, </w:t>
      </w:r>
      <w:r w:rsidRPr="00F32898">
        <w:rPr>
          <w:i/>
        </w:rPr>
        <w:t xml:space="preserve">p </w:t>
      </w:r>
      <w:r w:rsidRPr="00F32898">
        <w:t xml:space="preserve">&lt; 0.1). </w:t>
      </w:r>
    </w:p>
    <w:p w14:paraId="47F8C46A" w14:textId="77777777" w:rsidR="00D55B26" w:rsidRPr="00F32898" w:rsidRDefault="00D55B26" w:rsidP="00F32898">
      <w:pPr>
        <w:autoSpaceDE w:val="0"/>
        <w:spacing w:line="480" w:lineRule="auto"/>
        <w:ind w:firstLine="706"/>
      </w:pPr>
      <w:r w:rsidRPr="00F32898">
        <w:t>Once again, the candidate’s party is an important factor affecting support. Unlike in 2009, however, being Republican does not help Candidate Jones. As discussed above, the political climate in 2013 had changed since 2009. Both a Republican and a Democratic candidate get lower support than an independent. The effects of the respondent’s partisanship, demographic characteristics, and attitudes are consistent across the two comparison years.</w:t>
      </w:r>
    </w:p>
    <w:p w14:paraId="2D93FA3D" w14:textId="77777777" w:rsidR="00D55B26" w:rsidRPr="00F32898" w:rsidRDefault="00D55B26" w:rsidP="00F32898">
      <w:pPr>
        <w:autoSpaceDE w:val="0"/>
        <w:spacing w:line="480" w:lineRule="auto"/>
      </w:pPr>
      <w:r w:rsidRPr="00F32898">
        <w:t xml:space="preserve">        Similar to the estimates in Table 2, the three partisan groups have different evaluations of the proffered funding sources. Republicans clearly rank green energy industry contributions the lowest, while the Democrats rank them highest. Independents, on the other hand, rank oil industry contributions the lowest, but are ambivalent with respect to contributions from the green energy industry versus friends and acquaintances. Indeed, the largest partisan difference is found in the specific reaction to green energy industry contributions. </w:t>
      </w:r>
    </w:p>
    <w:p w14:paraId="20F3C6EF" w14:textId="77777777" w:rsidR="00D55B26" w:rsidRPr="00F32898" w:rsidRDefault="00D55B26" w:rsidP="00F32898">
      <w:pPr>
        <w:autoSpaceDE w:val="0"/>
        <w:spacing w:line="480" w:lineRule="auto"/>
        <w:ind w:firstLine="706"/>
      </w:pPr>
      <w:r w:rsidRPr="00F32898">
        <w:t>Although we do not find many significant interaction effects between the funding source and the candidate’s party, independent respondents are turned off when Democrat Jones receives contributions from the oil industry, whereas they are unaffected by this when Jones is Republican.</w:t>
      </w:r>
    </w:p>
    <w:p w14:paraId="43239152" w14:textId="73DA4580" w:rsidR="00D55B26" w:rsidRPr="00F32898" w:rsidRDefault="00D55B26" w:rsidP="00F32898">
      <w:pPr>
        <w:autoSpaceDE w:val="0"/>
        <w:spacing w:line="480" w:lineRule="auto"/>
        <w:ind w:firstLine="706"/>
      </w:pPr>
      <w:r w:rsidRPr="00F32898">
        <w:t xml:space="preserve">In addition, the interaction models show a strong negative effect in the case of a Democratic candidate who receives $20 million in green energy contributions. This finding is ubiquitous across the three partisan groups, although the effect is largest among Republicans. As noted earlier, we suspect (but cannot prove) that voters see $20 million in green energy </w:t>
      </w:r>
      <w:r w:rsidRPr="00F32898">
        <w:lastRenderedPageBreak/>
        <w:t xml:space="preserve">contributions as highly suspicious, probably due to the nature and size of that industry. </w:t>
      </w:r>
      <w:r w:rsidR="000800D3">
        <w:t>This may be comparable to the 2009 outcome that Republicans express a significantly lower support when a Democratic candidate receives a large amount of contributions from trial lawyers. Yet,</w:t>
      </w:r>
      <w:r w:rsidR="007A065A">
        <w:t xml:space="preserve"> </w:t>
      </w:r>
      <w:r w:rsidR="000800D3">
        <w:t>it is also notable that</w:t>
      </w:r>
      <w:r w:rsidRPr="00F32898">
        <w:t xml:space="preserve"> a negative effect for a partisan candidate receiving a large sum of money from an interest group historically affiliated with his party was also witnessed in reverse (for Republicans and the tobacco industry) in the 2009 survey.  </w:t>
      </w:r>
    </w:p>
    <w:p w14:paraId="468AD01A" w14:textId="77777777" w:rsidR="00D55B26" w:rsidRPr="00F32898" w:rsidRDefault="00D55B26" w:rsidP="00F32898">
      <w:pPr>
        <w:autoSpaceDE w:val="0"/>
        <w:spacing w:line="480" w:lineRule="auto"/>
        <w:ind w:firstLine="706"/>
      </w:pPr>
      <w:r w:rsidRPr="00F32898">
        <w:t xml:space="preserve">In sum, the regression estimates confirm our expectation that the campaign finance information </w:t>
      </w:r>
      <w:r w:rsidR="00D610B2" w:rsidRPr="00F32898">
        <w:t xml:space="preserve">we provided </w:t>
      </w:r>
      <w:r w:rsidRPr="00F32898">
        <w:t xml:space="preserve">is a significant factor for voter evaluations of </w:t>
      </w:r>
      <w:r w:rsidR="00D610B2" w:rsidRPr="00F32898">
        <w:t xml:space="preserve">the </w:t>
      </w:r>
      <w:r w:rsidRPr="00F32898">
        <w:t xml:space="preserve">candidate. The regression models in Tables 2 and 3 demonstrate that, when it comes to information about a candidate’s campaign contributions, voters put more weight on where the money comes from than how much the candidate raises. The interaction models and the partisan group analyses also show that the finance information has differential effects by the treatment conditions and the respondent’s partisanship. </w:t>
      </w:r>
    </w:p>
    <w:p w14:paraId="565E6310" w14:textId="77777777" w:rsidR="00D55B26" w:rsidRPr="00F32898" w:rsidRDefault="00D55B26" w:rsidP="00F32898">
      <w:pPr>
        <w:autoSpaceDE w:val="0"/>
        <w:spacing w:line="480" w:lineRule="auto"/>
        <w:jc w:val="center"/>
      </w:pPr>
      <w:r w:rsidRPr="00F32898">
        <w:t>[Table 3 about here]</w:t>
      </w:r>
    </w:p>
    <w:p w14:paraId="17A93EA8" w14:textId="77777777" w:rsidR="007A065A" w:rsidRDefault="007A065A" w:rsidP="00F32898">
      <w:pPr>
        <w:autoSpaceDE w:val="0"/>
        <w:spacing w:line="480" w:lineRule="auto"/>
        <w:rPr>
          <w:b/>
        </w:rPr>
      </w:pPr>
    </w:p>
    <w:p w14:paraId="7E0B530C" w14:textId="77777777" w:rsidR="00D55B26" w:rsidRPr="00F32898" w:rsidRDefault="00D55B26" w:rsidP="00F32898">
      <w:pPr>
        <w:autoSpaceDE w:val="0"/>
        <w:spacing w:line="480" w:lineRule="auto"/>
        <w:rPr>
          <w:b/>
        </w:rPr>
      </w:pPr>
      <w:r w:rsidRPr="00F32898">
        <w:rPr>
          <w:b/>
        </w:rPr>
        <w:t>Conclusion</w:t>
      </w:r>
    </w:p>
    <w:p w14:paraId="137DE554" w14:textId="77777777" w:rsidR="00D55B26" w:rsidRPr="00F32898" w:rsidRDefault="00D55B26" w:rsidP="00F32898">
      <w:pPr>
        <w:pStyle w:val="CommentText"/>
        <w:spacing w:line="480" w:lineRule="auto"/>
        <w:ind w:firstLine="706"/>
        <w:rPr>
          <w:sz w:val="24"/>
          <w:szCs w:val="24"/>
        </w:rPr>
      </w:pPr>
      <w:r w:rsidRPr="00F32898">
        <w:rPr>
          <w:sz w:val="24"/>
          <w:szCs w:val="24"/>
        </w:rPr>
        <w:t xml:space="preserve">Our survey experiments </w:t>
      </w:r>
      <w:r w:rsidR="00D610B2" w:rsidRPr="00F32898">
        <w:rPr>
          <w:sz w:val="24"/>
          <w:szCs w:val="24"/>
        </w:rPr>
        <w:t xml:space="preserve">suggest </w:t>
      </w:r>
      <w:r w:rsidRPr="00F32898">
        <w:rPr>
          <w:sz w:val="24"/>
          <w:szCs w:val="24"/>
        </w:rPr>
        <w:t xml:space="preserve">that </w:t>
      </w:r>
      <w:r w:rsidR="00D610B2" w:rsidRPr="00F32898">
        <w:rPr>
          <w:sz w:val="24"/>
          <w:szCs w:val="24"/>
        </w:rPr>
        <w:t xml:space="preserve">information about </w:t>
      </w:r>
      <w:r w:rsidRPr="00F32898">
        <w:rPr>
          <w:sz w:val="24"/>
          <w:szCs w:val="24"/>
        </w:rPr>
        <w:t xml:space="preserve">the source of campaign contributions, as </w:t>
      </w:r>
      <w:r w:rsidR="009D4635">
        <w:rPr>
          <w:sz w:val="24"/>
          <w:szCs w:val="24"/>
        </w:rPr>
        <w:t>e</w:t>
      </w:r>
      <w:r w:rsidRPr="00F32898">
        <w:rPr>
          <w:sz w:val="24"/>
          <w:szCs w:val="24"/>
        </w:rPr>
        <w:t xml:space="preserve">xpected, </w:t>
      </w:r>
      <w:r w:rsidR="00D610B2" w:rsidRPr="00F32898">
        <w:rPr>
          <w:sz w:val="24"/>
          <w:szCs w:val="24"/>
        </w:rPr>
        <w:t xml:space="preserve">can </w:t>
      </w:r>
      <w:r w:rsidRPr="00F32898">
        <w:rPr>
          <w:sz w:val="24"/>
          <w:szCs w:val="24"/>
        </w:rPr>
        <w:t xml:space="preserve">affect the public's support for a candidate. </w:t>
      </w:r>
      <w:r w:rsidR="009D4635">
        <w:rPr>
          <w:sz w:val="24"/>
          <w:szCs w:val="24"/>
        </w:rPr>
        <w:t>More specifically, i</w:t>
      </w:r>
      <w:r w:rsidRPr="00F32898">
        <w:rPr>
          <w:sz w:val="24"/>
          <w:szCs w:val="24"/>
        </w:rPr>
        <w:t>f contributions come from special interest groups, Democratic and independent candidates tend</w:t>
      </w:r>
      <w:r w:rsidR="00D610B2" w:rsidRPr="00F32898">
        <w:rPr>
          <w:sz w:val="24"/>
          <w:szCs w:val="24"/>
        </w:rPr>
        <w:t>ed</w:t>
      </w:r>
      <w:r w:rsidRPr="00F32898">
        <w:rPr>
          <w:sz w:val="24"/>
          <w:szCs w:val="24"/>
        </w:rPr>
        <w:t xml:space="preserve"> to lose support while Republican candidates </w:t>
      </w:r>
      <w:r w:rsidR="00D610B2" w:rsidRPr="00F32898">
        <w:rPr>
          <w:sz w:val="24"/>
          <w:szCs w:val="24"/>
        </w:rPr>
        <w:t>we</w:t>
      </w:r>
      <w:r w:rsidRPr="00F32898">
        <w:rPr>
          <w:sz w:val="24"/>
          <w:szCs w:val="24"/>
        </w:rPr>
        <w:t>re (mostly) unaffected. This is consistent with the notion that long-standing ties between the GOP and corporate and professional interest groups are already factored into even first-blush appraisals by voters of Republican candidates. The amount of money a candidate raises, however, d</w:t>
      </w:r>
      <w:r w:rsidR="00D610B2" w:rsidRPr="00F32898">
        <w:rPr>
          <w:sz w:val="24"/>
          <w:szCs w:val="24"/>
        </w:rPr>
        <w:t>id</w:t>
      </w:r>
      <w:r w:rsidRPr="00F32898">
        <w:rPr>
          <w:sz w:val="24"/>
          <w:szCs w:val="24"/>
        </w:rPr>
        <w:t xml:space="preserve"> not have a clear effect on candidate support. It </w:t>
      </w:r>
      <w:r w:rsidRPr="00F32898">
        <w:rPr>
          <w:sz w:val="24"/>
          <w:szCs w:val="24"/>
        </w:rPr>
        <w:lastRenderedPageBreak/>
        <w:t xml:space="preserve">can influence voter reactions, but appears to </w:t>
      </w:r>
      <w:r w:rsidR="002526EA" w:rsidRPr="00F32898">
        <w:rPr>
          <w:sz w:val="24"/>
          <w:szCs w:val="24"/>
        </w:rPr>
        <w:t xml:space="preserve">have done so </w:t>
      </w:r>
      <w:r w:rsidRPr="00F32898">
        <w:rPr>
          <w:sz w:val="24"/>
          <w:szCs w:val="24"/>
        </w:rPr>
        <w:t>in combination with funding source and the candidate’s party.</w:t>
      </w:r>
    </w:p>
    <w:p w14:paraId="5FD385A1" w14:textId="77777777" w:rsidR="00D55B26" w:rsidRPr="00F32898" w:rsidRDefault="009D4635" w:rsidP="00F32898">
      <w:pPr>
        <w:autoSpaceDE w:val="0"/>
        <w:spacing w:line="480" w:lineRule="auto"/>
        <w:ind w:firstLine="709"/>
        <w:rPr>
          <w:color w:val="000000"/>
        </w:rPr>
      </w:pPr>
      <w:r>
        <w:rPr>
          <w:color w:val="000000"/>
        </w:rPr>
        <w:t>Beyond the general findings, w</w:t>
      </w:r>
      <w:r w:rsidR="00D55B26" w:rsidRPr="00F32898">
        <w:rPr>
          <w:color w:val="000000"/>
        </w:rPr>
        <w:t xml:space="preserve">e are especially struck by two particular results. First, </w:t>
      </w:r>
      <w:r>
        <w:rPr>
          <w:color w:val="000000"/>
        </w:rPr>
        <w:t>par</w:t>
      </w:r>
      <w:r w:rsidR="00D55B26" w:rsidRPr="00F32898">
        <w:rPr>
          <w:color w:val="000000"/>
        </w:rPr>
        <w:t xml:space="preserve">tisans </w:t>
      </w:r>
      <w:r w:rsidR="002526EA" w:rsidRPr="00F32898">
        <w:rPr>
          <w:color w:val="000000"/>
        </w:rPr>
        <w:t>we</w:t>
      </w:r>
      <w:r w:rsidR="00D55B26" w:rsidRPr="00F32898">
        <w:rPr>
          <w:color w:val="000000"/>
        </w:rPr>
        <w:t>re often more influenced by information about their own candidate than about the candidate of the opposing party. This is counter-intuitive, yet makes sense. Partisans are heavily predisposed to reject the other party’s candidate, so additional negative information fail</w:t>
      </w:r>
      <w:r w:rsidR="002526EA" w:rsidRPr="00F32898">
        <w:rPr>
          <w:color w:val="000000"/>
        </w:rPr>
        <w:t>ed</w:t>
      </w:r>
      <w:r w:rsidR="00D55B26" w:rsidRPr="00F32898">
        <w:rPr>
          <w:color w:val="000000"/>
        </w:rPr>
        <w:t xml:space="preserve"> to move the dial very much. Information about where their candidate gets her funding, on the other hand, can cause a substantial reduction in what would otherwise be a very favorable reaction. Of course, independent candidates, about whom little is typically known and towards whom there is no partisan filter, </w:t>
      </w:r>
      <w:r w:rsidR="002526EA" w:rsidRPr="00F32898">
        <w:rPr>
          <w:color w:val="000000"/>
        </w:rPr>
        <w:t>we</w:t>
      </w:r>
      <w:r w:rsidR="00D55B26" w:rsidRPr="00F32898">
        <w:rPr>
          <w:color w:val="000000"/>
        </w:rPr>
        <w:t>re the most affected by contribution information.</w:t>
      </w:r>
    </w:p>
    <w:p w14:paraId="50BA6195" w14:textId="77777777" w:rsidR="00D55B26" w:rsidRPr="00F32898" w:rsidRDefault="00D55B26" w:rsidP="00F32898">
      <w:pPr>
        <w:autoSpaceDE w:val="0"/>
        <w:spacing w:line="480" w:lineRule="auto"/>
        <w:ind w:firstLine="709"/>
        <w:rPr>
          <w:color w:val="000000"/>
        </w:rPr>
      </w:pPr>
      <w:r w:rsidRPr="00F32898">
        <w:rPr>
          <w:color w:val="000000"/>
        </w:rPr>
        <w:t>Second, voters apparently expect</w:t>
      </w:r>
      <w:r w:rsidR="002526EA" w:rsidRPr="00F32898">
        <w:rPr>
          <w:color w:val="000000"/>
        </w:rPr>
        <w:t>ed</w:t>
      </w:r>
      <w:r w:rsidRPr="00F32898">
        <w:rPr>
          <w:color w:val="000000"/>
        </w:rPr>
        <w:t xml:space="preserve"> Republican candidates to </w:t>
      </w:r>
      <w:r w:rsidR="002526EA" w:rsidRPr="00F32898">
        <w:rPr>
          <w:color w:val="000000"/>
        </w:rPr>
        <w:t xml:space="preserve">have </w:t>
      </w:r>
      <w:r w:rsidRPr="00F32898">
        <w:rPr>
          <w:color w:val="000000"/>
        </w:rPr>
        <w:t>raise</w:t>
      </w:r>
      <w:r w:rsidR="002526EA" w:rsidRPr="00F32898">
        <w:rPr>
          <w:color w:val="000000"/>
        </w:rPr>
        <w:t>d</w:t>
      </w:r>
      <w:r w:rsidRPr="00F32898">
        <w:rPr>
          <w:color w:val="000000"/>
        </w:rPr>
        <w:t xml:space="preserve"> money from corporations and special interest groups, and </w:t>
      </w:r>
      <w:r w:rsidR="002526EA" w:rsidRPr="00F32898">
        <w:rPr>
          <w:color w:val="000000"/>
        </w:rPr>
        <w:t>we</w:t>
      </w:r>
      <w:r w:rsidRPr="00F32898">
        <w:rPr>
          <w:color w:val="000000"/>
        </w:rPr>
        <w:t>re therefore less likely to “punish” them. This is consistent with the broader theoretical notion that disclosure must provide “new” information to be useful to voters; campaign contribution information must go beyond what they expect of partisan (and non-partisan) candidates. The findings are quite unique, however, in that they offer strong empirical support for the irrelevance of contribution amount and for the relevance of contribution source to vote choice.</w:t>
      </w:r>
    </w:p>
    <w:p w14:paraId="193E60C8" w14:textId="77777777" w:rsidR="00D55B26" w:rsidRPr="00F32898" w:rsidRDefault="00D55B26" w:rsidP="00F32898">
      <w:pPr>
        <w:autoSpaceDE w:val="0"/>
        <w:spacing w:line="480" w:lineRule="auto"/>
        <w:ind w:firstLine="709"/>
        <w:rPr>
          <w:color w:val="000000"/>
        </w:rPr>
      </w:pPr>
      <w:r w:rsidRPr="00F32898">
        <w:rPr>
          <w:color w:val="000000"/>
        </w:rPr>
        <w:t xml:space="preserve">But what does this mean for the future of campaign finance in the U.S.? The present analysis suggests that increasing the disclosure of information about contribution sources could significantly affect voters’ perceptions of candidates. Furthermore, the apparent irrelevance of the total sums of money raised and spent in the 2008 and 2012 U.S. presidential elections – few withheld support for Barack Obama in objection to his unprecedented fundraising – is also entirely consistent with our findings. Our findings </w:t>
      </w:r>
      <w:r w:rsidR="002526EA" w:rsidRPr="00F32898">
        <w:rPr>
          <w:color w:val="000000"/>
        </w:rPr>
        <w:t xml:space="preserve">also </w:t>
      </w:r>
      <w:r w:rsidRPr="00F32898">
        <w:rPr>
          <w:color w:val="000000"/>
        </w:rPr>
        <w:t xml:space="preserve">suggest the Supreme Court’s recent </w:t>
      </w:r>
      <w:r w:rsidRPr="00F32898">
        <w:rPr>
          <w:color w:val="000000"/>
        </w:rPr>
        <w:lastRenderedPageBreak/>
        <w:t xml:space="preserve">decision in </w:t>
      </w:r>
      <w:r w:rsidRPr="00F32898">
        <w:rPr>
          <w:i/>
          <w:color w:val="000000"/>
        </w:rPr>
        <w:t>McCutcheon v FEC</w:t>
      </w:r>
      <w:r w:rsidRPr="00F32898">
        <w:rPr>
          <w:color w:val="000000"/>
        </w:rPr>
        <w:t>, which may well increase the amount of money in politics contributed by the wealthy, should be less of a concern than Congress’s failure to pass more significant disclosure laws.</w:t>
      </w:r>
    </w:p>
    <w:p w14:paraId="09138F5C" w14:textId="77777777" w:rsidR="00D55B26" w:rsidRPr="00F32898" w:rsidRDefault="00D55B26" w:rsidP="00F32898">
      <w:pPr>
        <w:autoSpaceDE w:val="0"/>
        <w:spacing w:line="480" w:lineRule="auto"/>
        <w:ind w:firstLine="709"/>
        <w:rPr>
          <w:color w:val="000000"/>
        </w:rPr>
      </w:pPr>
      <w:r w:rsidRPr="00F32898">
        <w:rPr>
          <w:color w:val="000000"/>
        </w:rPr>
        <w:t>There is an obvious irony here with respect to these recent efforts by congressional Democrats, however. Our data show that increased disclosure could disproportionately hurt Democratic and independent candidates by providing information on corporate and special interest group linkages. Put simply, in 2009 the Democrats backed legislation that would have effectively made it more difficult for Democrats to win elections.</w:t>
      </w:r>
    </w:p>
    <w:p w14:paraId="4E6F6076" w14:textId="77777777" w:rsidR="00D55B26" w:rsidRPr="00F32898" w:rsidRDefault="00D55B26" w:rsidP="009D4635">
      <w:pPr>
        <w:autoSpaceDE w:val="0"/>
        <w:spacing w:line="480" w:lineRule="auto"/>
        <w:ind w:firstLine="709"/>
        <w:rPr>
          <w:color w:val="000000"/>
        </w:rPr>
      </w:pPr>
      <w:r w:rsidRPr="00F32898">
        <w:rPr>
          <w:color w:val="000000"/>
        </w:rPr>
        <w:t>As always, caveats abound</w:t>
      </w:r>
      <w:r w:rsidR="009D4635">
        <w:rPr>
          <w:color w:val="000000"/>
        </w:rPr>
        <w:t xml:space="preserve"> and the limited scope of our study s</w:t>
      </w:r>
      <w:r w:rsidR="005D0827" w:rsidRPr="00F32898">
        <w:rPr>
          <w:color w:val="000000"/>
        </w:rPr>
        <w:t xml:space="preserve">uggests a cautious reading of the data at hand. </w:t>
      </w:r>
      <w:r w:rsidR="000F4553" w:rsidRPr="00F32898">
        <w:rPr>
          <w:color w:val="000000"/>
        </w:rPr>
        <w:t xml:space="preserve">Suffice it to say that it appears campaign contribution information </w:t>
      </w:r>
      <w:r w:rsidR="000F4553" w:rsidRPr="00F32898">
        <w:rPr>
          <w:i/>
          <w:color w:val="000000"/>
        </w:rPr>
        <w:t>can</w:t>
      </w:r>
      <w:r w:rsidR="000F4553" w:rsidRPr="00F32898">
        <w:rPr>
          <w:color w:val="000000"/>
        </w:rPr>
        <w:t xml:space="preserve"> influence the likelihood that voters will support a candidate. More specifically, information about contribution source seems to have real potential. The relationship between this information and other factors is undoubtedly complex. But we see little </w:t>
      </w:r>
      <w:r w:rsidRPr="00F32898">
        <w:rPr>
          <w:color w:val="000000"/>
        </w:rPr>
        <w:t xml:space="preserve">reason to </w:t>
      </w:r>
      <w:r w:rsidR="000F4553" w:rsidRPr="00F32898">
        <w:rPr>
          <w:color w:val="000000"/>
        </w:rPr>
        <w:t xml:space="preserve">believe </w:t>
      </w:r>
      <w:r w:rsidRPr="00F32898">
        <w:rPr>
          <w:color w:val="000000"/>
        </w:rPr>
        <w:t>the nature (if not the magnitude) of the pattern observed here is idiosyncratic. Moreover, policy-makers, as well as the courts, could clearly benefit from additional data on the subject.</w:t>
      </w:r>
    </w:p>
    <w:p w14:paraId="21D476DF" w14:textId="77777777" w:rsidR="00D55B26" w:rsidRPr="00F32898" w:rsidRDefault="00D55B26" w:rsidP="00F32898">
      <w:pPr>
        <w:pageBreakBefore/>
        <w:autoSpaceDE w:val="0"/>
        <w:spacing w:line="480" w:lineRule="auto"/>
        <w:rPr>
          <w:b/>
        </w:rPr>
      </w:pPr>
      <w:r w:rsidRPr="00F32898">
        <w:rPr>
          <w:b/>
        </w:rPr>
        <w:lastRenderedPageBreak/>
        <w:t>References</w:t>
      </w:r>
    </w:p>
    <w:p w14:paraId="6EE100FB" w14:textId="77777777" w:rsidR="004F5934" w:rsidRDefault="004F5934" w:rsidP="00F32898">
      <w:pPr>
        <w:spacing w:line="480" w:lineRule="auto"/>
        <w:ind w:left="720" w:hanging="720"/>
      </w:pPr>
      <w:r>
        <w:t>Ansolabehere, Stephen, Erik C. Snowberg, and James M. Snyder. 2003. “Statistical Bias in Newspaper Reporting on Campaign Finance.” MIT Economics Working Paper No. 03-36.</w:t>
      </w:r>
    </w:p>
    <w:p w14:paraId="48EF9152" w14:textId="77777777" w:rsidR="00D55B26" w:rsidRPr="00F32898" w:rsidRDefault="00D55B26" w:rsidP="00F32898">
      <w:pPr>
        <w:spacing w:line="480" w:lineRule="auto"/>
        <w:ind w:left="720" w:hanging="720"/>
      </w:pPr>
      <w:r w:rsidRPr="00F32898">
        <w:t xml:space="preserve">Ashworth, Scott. 2006. "Campaign finance and voter welfare with entrenched incumbents." </w:t>
      </w:r>
      <w:r w:rsidRPr="00F32898">
        <w:rPr>
          <w:i/>
          <w:iCs/>
        </w:rPr>
        <w:t>American Political Science Review</w:t>
      </w:r>
      <w:r w:rsidRPr="00F32898">
        <w:t xml:space="preserve"> 100(1): 55-68.</w:t>
      </w:r>
    </w:p>
    <w:p w14:paraId="29A6E59C" w14:textId="77777777" w:rsidR="00D55B26" w:rsidRPr="00F32898" w:rsidRDefault="00D55B26" w:rsidP="00F32898">
      <w:pPr>
        <w:spacing w:line="480" w:lineRule="auto"/>
        <w:ind w:left="720" w:hanging="720"/>
      </w:pPr>
      <w:r w:rsidRPr="00F32898">
        <w:t xml:space="preserve">Bonica, Adam. 2013. "Ideology and interests in the political marketplace." </w:t>
      </w:r>
      <w:r w:rsidRPr="00F32898">
        <w:rPr>
          <w:i/>
          <w:iCs/>
        </w:rPr>
        <w:t>American Journal of Political Science</w:t>
      </w:r>
      <w:r w:rsidRPr="00F32898">
        <w:t xml:space="preserve"> 57(2): 294-311.</w:t>
      </w:r>
    </w:p>
    <w:p w14:paraId="02C35DF4" w14:textId="77777777" w:rsidR="00D55B26" w:rsidRPr="00F32898" w:rsidRDefault="00D55B26" w:rsidP="00F32898">
      <w:pPr>
        <w:spacing w:line="480" w:lineRule="auto"/>
        <w:ind w:left="706" w:hanging="706"/>
      </w:pPr>
      <w:r w:rsidRPr="00F32898">
        <w:t xml:space="preserve">Campbell, Angus, Philip E. Converse, Warren E. Miller, and Donald E. Stokes. 1960. </w:t>
      </w:r>
      <w:r w:rsidRPr="00F32898">
        <w:rPr>
          <w:i/>
          <w:iCs/>
        </w:rPr>
        <w:t>The American Voter</w:t>
      </w:r>
      <w:r w:rsidRPr="00F32898">
        <w:t>. Chicago: University of Chicago Press.</w:t>
      </w:r>
    </w:p>
    <w:p w14:paraId="1BF809AC" w14:textId="77777777" w:rsidR="00D55B26" w:rsidRPr="00F32898" w:rsidRDefault="00D55B26" w:rsidP="00F32898">
      <w:pPr>
        <w:tabs>
          <w:tab w:val="left" w:pos="720"/>
        </w:tabs>
        <w:spacing w:line="480" w:lineRule="auto"/>
        <w:ind w:left="720" w:hanging="720"/>
      </w:pPr>
      <w:r w:rsidRPr="00F32898">
        <w:t xml:space="preserve">Coate, Stephen. 2004."Political competition with campaign contributions and informative advertising." </w:t>
      </w:r>
      <w:r w:rsidRPr="00F32898">
        <w:rPr>
          <w:i/>
          <w:iCs/>
        </w:rPr>
        <w:t>Journal of the European Economic Association</w:t>
      </w:r>
      <w:r w:rsidRPr="00F32898">
        <w:t xml:space="preserve"> 2(5): 772-804.</w:t>
      </w:r>
    </w:p>
    <w:p w14:paraId="1597CF86" w14:textId="77777777" w:rsidR="00D55B26" w:rsidRPr="00F32898" w:rsidRDefault="00D55B26" w:rsidP="00F32898">
      <w:pPr>
        <w:spacing w:line="480" w:lineRule="auto"/>
        <w:ind w:left="706" w:hanging="706"/>
      </w:pPr>
      <w:r w:rsidRPr="00F32898">
        <w:t xml:space="preserve">Delli Carpini, Michael X., and Scott Keeter. 1996. </w:t>
      </w:r>
      <w:r w:rsidRPr="00F32898">
        <w:rPr>
          <w:i/>
          <w:iCs/>
        </w:rPr>
        <w:t>What Americans Know about Politics and Why It Matters</w:t>
      </w:r>
      <w:r w:rsidRPr="00F32898">
        <w:t>. New Haven: Yale University.</w:t>
      </w:r>
    </w:p>
    <w:p w14:paraId="7C010F75" w14:textId="77777777" w:rsidR="00D55B26" w:rsidRPr="00F32898" w:rsidRDefault="00D55B26" w:rsidP="00F32898">
      <w:pPr>
        <w:spacing w:line="480" w:lineRule="auto"/>
        <w:ind w:left="706" w:hanging="706"/>
      </w:pPr>
      <w:r w:rsidRPr="00F32898">
        <w:t xml:space="preserve">Dowling, Conor M., and Michael G. Miller. 2014. </w:t>
      </w:r>
      <w:r w:rsidRPr="00F32898">
        <w:rPr>
          <w:i/>
        </w:rPr>
        <w:t>Super PAC!: Money, Elections, and Voters after Citizens United</w:t>
      </w:r>
      <w:r w:rsidRPr="00F32898">
        <w:t>. Routledge.</w:t>
      </w:r>
    </w:p>
    <w:p w14:paraId="4FBAFC28" w14:textId="77777777" w:rsidR="00D55B26" w:rsidRPr="00F32898" w:rsidRDefault="00D55B26" w:rsidP="00F32898">
      <w:pPr>
        <w:spacing w:line="480" w:lineRule="auto"/>
        <w:ind w:left="706" w:hanging="706"/>
      </w:pPr>
      <w:r w:rsidRPr="00F32898">
        <w:t xml:space="preserve">Downs, Anthony. 1957. "An economic theory of political action in a democracy." </w:t>
      </w:r>
      <w:r w:rsidRPr="00F32898">
        <w:rPr>
          <w:i/>
          <w:iCs/>
        </w:rPr>
        <w:t>The Journal of Political Economy</w:t>
      </w:r>
      <w:r w:rsidRPr="00F32898">
        <w:t>. 65(2): 135-150.</w:t>
      </w:r>
    </w:p>
    <w:p w14:paraId="53685FB9" w14:textId="77777777" w:rsidR="00D55B26" w:rsidRPr="00F32898" w:rsidRDefault="00D55B26" w:rsidP="00F32898">
      <w:pPr>
        <w:spacing w:line="480" w:lineRule="auto"/>
        <w:ind w:left="720" w:hanging="720"/>
      </w:pPr>
      <w:r w:rsidRPr="00F32898">
        <w:t xml:space="preserve">Gadarian, Shana Kushner, and Bethany Albertson. 2014. "Anxiety, immigration, and the search for information." </w:t>
      </w:r>
      <w:r w:rsidRPr="00F32898">
        <w:rPr>
          <w:i/>
          <w:iCs/>
        </w:rPr>
        <w:t>Political Psychology</w:t>
      </w:r>
      <w:r w:rsidRPr="00F32898">
        <w:t xml:space="preserve"> 35(2): 133-164.</w:t>
      </w:r>
    </w:p>
    <w:p w14:paraId="662D2A33" w14:textId="77777777" w:rsidR="00D55B26" w:rsidRPr="00F32898" w:rsidRDefault="00D55B26" w:rsidP="00F32898">
      <w:pPr>
        <w:spacing w:line="480" w:lineRule="auto"/>
        <w:ind w:left="706" w:hanging="706"/>
      </w:pPr>
      <w:r w:rsidRPr="00F32898">
        <w:t>Hayes, Danny. 2006. “Beyond the Horse Race: The Content and Consequence of Issue News in American Elections.” Doctoral Dissertation, the University of Texas at Austin.</w:t>
      </w:r>
    </w:p>
    <w:p w14:paraId="6DB8D93D" w14:textId="77777777" w:rsidR="007B5377" w:rsidRPr="00F32898" w:rsidRDefault="007B5377" w:rsidP="00F32898">
      <w:pPr>
        <w:widowControl/>
        <w:suppressAutoHyphens w:val="0"/>
        <w:autoSpaceDE w:val="0"/>
        <w:autoSpaceDN w:val="0"/>
        <w:adjustRightInd w:val="0"/>
        <w:spacing w:line="480" w:lineRule="auto"/>
        <w:ind w:left="446" w:hanging="446"/>
      </w:pPr>
      <w:r w:rsidRPr="00F32898">
        <w:lastRenderedPageBreak/>
        <w:t xml:space="preserve">Herrnson, Paul S. 2009. "The Roles of Party Organizations, Party-Connected Committees, and Party Allies in Elections." </w:t>
      </w:r>
      <w:r w:rsidRPr="00F32898">
        <w:rPr>
          <w:i/>
          <w:iCs/>
        </w:rPr>
        <w:t>The Journal of Politics</w:t>
      </w:r>
      <w:r w:rsidRPr="00F32898">
        <w:t xml:space="preserve"> 71(4): 1207-1224.</w:t>
      </w:r>
    </w:p>
    <w:p w14:paraId="6772FCE2" w14:textId="77777777" w:rsidR="00D55B26" w:rsidRPr="00F32898" w:rsidRDefault="00D55B26" w:rsidP="00F32898">
      <w:pPr>
        <w:widowControl/>
        <w:suppressAutoHyphens w:val="0"/>
        <w:autoSpaceDE w:val="0"/>
        <w:autoSpaceDN w:val="0"/>
        <w:adjustRightInd w:val="0"/>
        <w:spacing w:line="480" w:lineRule="auto"/>
        <w:ind w:left="446" w:hanging="446"/>
      </w:pPr>
      <w:r w:rsidRPr="00F32898">
        <w:t xml:space="preserve">Imai, Kosuke. 2005. “Do Get-Out-the-Vote Calls Reduce Turnout? The Importance of Statistical Methods for Field Experiments.” </w:t>
      </w:r>
      <w:r w:rsidRPr="00F32898">
        <w:rPr>
          <w:i/>
        </w:rPr>
        <w:t>American Political Science Review</w:t>
      </w:r>
      <w:r w:rsidRPr="00F32898">
        <w:t>. 99(2): 283-300.</w:t>
      </w:r>
    </w:p>
    <w:p w14:paraId="415C5087" w14:textId="77777777" w:rsidR="00D55B26" w:rsidRPr="00F32898" w:rsidRDefault="00D55B26" w:rsidP="00F32898">
      <w:pPr>
        <w:widowControl/>
        <w:suppressAutoHyphens w:val="0"/>
        <w:autoSpaceDE w:val="0"/>
        <w:autoSpaceDN w:val="0"/>
        <w:adjustRightInd w:val="0"/>
        <w:spacing w:line="480" w:lineRule="auto"/>
        <w:ind w:left="446" w:hanging="446"/>
      </w:pPr>
      <w:r w:rsidRPr="00F32898">
        <w:t xml:space="preserve">Ingberman, Daniel E. 1992. "Incumbent reputations and ideological campaign contributions in spatial competition." </w:t>
      </w:r>
      <w:r w:rsidRPr="00F32898">
        <w:rPr>
          <w:i/>
          <w:iCs/>
        </w:rPr>
        <w:t>Mathematical and Computer Modelling</w:t>
      </w:r>
      <w:r w:rsidRPr="00F32898">
        <w:t xml:space="preserve"> 16(8): 147-169.</w:t>
      </w:r>
    </w:p>
    <w:p w14:paraId="0D8A3080" w14:textId="77777777" w:rsidR="00D55B26" w:rsidRPr="00F32898" w:rsidRDefault="00D55B26" w:rsidP="00F32898">
      <w:pPr>
        <w:spacing w:line="480" w:lineRule="auto"/>
        <w:ind w:left="720" w:hanging="720"/>
      </w:pPr>
      <w:r w:rsidRPr="00F32898">
        <w:t xml:space="preserve">Lewis-Beck, Michael S., Helmut Norpoth, William G. Jacoby, and Herbert F. Weisberg. 2008 </w:t>
      </w:r>
      <w:r w:rsidRPr="00F32898">
        <w:rPr>
          <w:i/>
        </w:rPr>
        <w:t>The American Voter Revisited</w:t>
      </w:r>
      <w:r w:rsidRPr="00F32898">
        <w:t>. Ann Arbor, MI: University of Michigan Press.</w:t>
      </w:r>
    </w:p>
    <w:p w14:paraId="09734FBB" w14:textId="77777777" w:rsidR="00D55B26" w:rsidRPr="00F32898" w:rsidRDefault="00D55B26" w:rsidP="00F32898">
      <w:pPr>
        <w:spacing w:line="480" w:lineRule="auto"/>
        <w:ind w:left="706" w:hanging="706"/>
      </w:pPr>
      <w:r w:rsidRPr="00F32898">
        <w:t xml:space="preserve">Lodge, Milton, Marco R. Steenbergen, and Shawn Brau. 1995. “The Responsive Voter: Campaign Information and the Dynamics of Candidate Evaluation.” </w:t>
      </w:r>
      <w:r w:rsidRPr="00F32898">
        <w:rPr>
          <w:i/>
          <w:iCs/>
        </w:rPr>
        <w:t>The American Political Science Review</w:t>
      </w:r>
      <w:r w:rsidRPr="00F32898">
        <w:t>, 89(2): 309-326.</w:t>
      </w:r>
    </w:p>
    <w:p w14:paraId="27C67960" w14:textId="77777777" w:rsidR="00D55B26" w:rsidRPr="00F32898" w:rsidRDefault="00D55B26" w:rsidP="00F32898">
      <w:pPr>
        <w:spacing w:line="480" w:lineRule="auto"/>
        <w:ind w:left="720" w:hanging="720"/>
      </w:pPr>
      <w:r w:rsidRPr="00F32898">
        <w:t xml:space="preserve">Lupia, Arthur. 1994. "Shortcuts versus encyclopedias: information and voting behavior in California insurance reform elections." </w:t>
      </w:r>
      <w:r w:rsidRPr="00F32898">
        <w:rPr>
          <w:i/>
          <w:iCs/>
        </w:rPr>
        <w:t>American Political Science Review</w:t>
      </w:r>
      <w:r w:rsidRPr="00F32898">
        <w:t xml:space="preserve"> 88(1): 63-76.</w:t>
      </w:r>
    </w:p>
    <w:p w14:paraId="042B1372" w14:textId="77777777" w:rsidR="00D55B26" w:rsidRPr="00F32898" w:rsidRDefault="00D55B26" w:rsidP="00F32898">
      <w:pPr>
        <w:pStyle w:val="Heading1"/>
        <w:tabs>
          <w:tab w:val="left" w:pos="720"/>
        </w:tabs>
        <w:spacing w:line="480" w:lineRule="auto"/>
        <w:ind w:left="720" w:hanging="720"/>
        <w:rPr>
          <w:b w:val="0"/>
          <w:sz w:val="24"/>
          <w:szCs w:val="24"/>
        </w:rPr>
      </w:pPr>
      <w:r w:rsidRPr="00F32898">
        <w:rPr>
          <w:b w:val="0"/>
          <w:sz w:val="24"/>
          <w:szCs w:val="24"/>
        </w:rPr>
        <w:t>McCarty, Nolan</w:t>
      </w:r>
      <w:r w:rsidR="00393458" w:rsidRPr="00F32898">
        <w:rPr>
          <w:b w:val="0"/>
          <w:sz w:val="24"/>
          <w:szCs w:val="24"/>
        </w:rPr>
        <w:t>,</w:t>
      </w:r>
      <w:r w:rsidRPr="00F32898">
        <w:rPr>
          <w:b w:val="0"/>
          <w:sz w:val="24"/>
          <w:szCs w:val="24"/>
        </w:rPr>
        <w:t xml:space="preserve"> and</w:t>
      </w:r>
      <w:r w:rsidR="00393458" w:rsidRPr="00F32898">
        <w:rPr>
          <w:b w:val="0"/>
          <w:sz w:val="24"/>
          <w:szCs w:val="24"/>
        </w:rPr>
        <w:t xml:space="preserve"> </w:t>
      </w:r>
      <w:r w:rsidRPr="00F32898">
        <w:rPr>
          <w:b w:val="0"/>
          <w:sz w:val="24"/>
          <w:szCs w:val="24"/>
        </w:rPr>
        <w:t xml:space="preserve">Keith. Poole. 1998. “An Empirical Spatial Model of Congressional Campaigns.” </w:t>
      </w:r>
      <w:r w:rsidRPr="00F32898">
        <w:rPr>
          <w:b w:val="0"/>
          <w:i/>
          <w:iCs/>
          <w:sz w:val="24"/>
          <w:szCs w:val="24"/>
        </w:rPr>
        <w:t xml:space="preserve">Political Analysis </w:t>
      </w:r>
      <w:r w:rsidRPr="00F32898">
        <w:rPr>
          <w:b w:val="0"/>
          <w:sz w:val="24"/>
          <w:szCs w:val="24"/>
        </w:rPr>
        <w:t>7:1–30.</w:t>
      </w:r>
    </w:p>
    <w:p w14:paraId="0395BF67" w14:textId="77777777" w:rsidR="00D55B26" w:rsidRPr="00F32898" w:rsidRDefault="00D55B26" w:rsidP="00F32898">
      <w:pPr>
        <w:pStyle w:val="Heading1"/>
        <w:tabs>
          <w:tab w:val="clear" w:pos="432"/>
          <w:tab w:val="left" w:pos="720"/>
        </w:tabs>
        <w:spacing w:before="0" w:after="0" w:line="480" w:lineRule="auto"/>
        <w:ind w:left="720" w:hanging="720"/>
        <w:rPr>
          <w:b w:val="0"/>
          <w:sz w:val="24"/>
          <w:szCs w:val="24"/>
        </w:rPr>
      </w:pPr>
      <w:r w:rsidRPr="00F32898">
        <w:rPr>
          <w:b w:val="0"/>
          <w:sz w:val="24"/>
          <w:szCs w:val="24"/>
        </w:rPr>
        <w:t xml:space="preserve">Mutch, Robert E. 1988. </w:t>
      </w:r>
      <w:r w:rsidRPr="00F32898">
        <w:rPr>
          <w:b w:val="0"/>
          <w:i/>
          <w:sz w:val="24"/>
          <w:szCs w:val="24"/>
        </w:rPr>
        <w:t>Campaigns, Congress, and the Courts: The Making of Federal Campaign Finance Law</w:t>
      </w:r>
      <w:r w:rsidRPr="00F32898">
        <w:rPr>
          <w:b w:val="0"/>
          <w:sz w:val="24"/>
          <w:szCs w:val="24"/>
        </w:rPr>
        <w:t>. New York: Praeger.</w:t>
      </w:r>
    </w:p>
    <w:p w14:paraId="22DC94BB" w14:textId="77777777" w:rsidR="00D55B26" w:rsidRPr="00F32898" w:rsidRDefault="00D55B26" w:rsidP="00F32898">
      <w:pPr>
        <w:spacing w:line="480" w:lineRule="auto"/>
      </w:pPr>
      <w:r w:rsidRPr="00F32898">
        <w:t xml:space="preserve">Popkin, Samuel L. 1991. </w:t>
      </w:r>
      <w:r w:rsidRPr="00F32898">
        <w:rPr>
          <w:i/>
          <w:iCs/>
        </w:rPr>
        <w:t>The Reasoning voter</w:t>
      </w:r>
      <w:r w:rsidRPr="00F32898">
        <w:t>. Chicago: The University of Chicago Press.</w:t>
      </w:r>
    </w:p>
    <w:p w14:paraId="03429A43" w14:textId="77777777" w:rsidR="00D55B26" w:rsidRPr="00F32898" w:rsidRDefault="00D55B26" w:rsidP="00F32898">
      <w:pPr>
        <w:tabs>
          <w:tab w:val="center" w:pos="4320"/>
          <w:tab w:val="left" w:pos="5480"/>
        </w:tabs>
        <w:spacing w:line="480" w:lineRule="auto"/>
        <w:ind w:left="720" w:hanging="720"/>
      </w:pPr>
      <w:r w:rsidRPr="00F32898">
        <w:rPr>
          <w:rStyle w:val="citation"/>
        </w:rPr>
        <w:t>Redlawsk, D. P., Civettini, A. J. W, Emmerson, K. M. (2010). "The Affect</w:t>
      </w:r>
      <w:r w:rsidR="00393458" w:rsidRPr="00F32898">
        <w:rPr>
          <w:rStyle w:val="citation"/>
        </w:rPr>
        <w:t xml:space="preserve">ive Tipping Point: Do Motivated </w:t>
      </w:r>
      <w:r w:rsidRPr="00F32898">
        <w:rPr>
          <w:rStyle w:val="citation"/>
        </w:rPr>
        <w:t xml:space="preserve">Reasoners Ever "Get It"?". </w:t>
      </w:r>
      <w:r w:rsidRPr="00F32898">
        <w:rPr>
          <w:rStyle w:val="citation"/>
          <w:i/>
          <w:iCs/>
        </w:rPr>
        <w:t>Political Psychology</w:t>
      </w:r>
      <w:r w:rsidRPr="00F32898">
        <w:rPr>
          <w:rStyle w:val="citation"/>
          <w:bCs/>
        </w:rPr>
        <w:t>31</w:t>
      </w:r>
      <w:r w:rsidRPr="00F32898">
        <w:rPr>
          <w:rStyle w:val="citation"/>
        </w:rPr>
        <w:t xml:space="preserve"> (4): 563.</w:t>
      </w:r>
    </w:p>
    <w:p w14:paraId="2D24A507" w14:textId="77777777" w:rsidR="00D55B26" w:rsidRPr="00F32898" w:rsidRDefault="00D55B26" w:rsidP="00F32898">
      <w:pPr>
        <w:autoSpaceDE w:val="0"/>
        <w:spacing w:line="480" w:lineRule="auto"/>
        <w:ind w:left="720" w:hanging="720"/>
      </w:pPr>
      <w:r w:rsidRPr="00F32898">
        <w:t xml:space="preserve">Sances, Michael W. 2013. "Is Money in Politics Harming Trust in Government? Evidence from Two Survey Experiments." </w:t>
      </w:r>
      <w:r w:rsidRPr="00F32898">
        <w:rPr>
          <w:i/>
          <w:iCs/>
        </w:rPr>
        <w:t>Election Law Journal</w:t>
      </w:r>
      <w:r w:rsidRPr="00F32898">
        <w:t xml:space="preserve"> 12(1): 53-73.</w:t>
      </w:r>
    </w:p>
    <w:p w14:paraId="71DBC938" w14:textId="77777777" w:rsidR="002665BF" w:rsidRDefault="002665BF" w:rsidP="00F32898">
      <w:pPr>
        <w:tabs>
          <w:tab w:val="center" w:pos="4320"/>
          <w:tab w:val="left" w:pos="5480"/>
        </w:tabs>
        <w:spacing w:line="480" w:lineRule="auto"/>
        <w:ind w:left="720" w:hanging="720"/>
      </w:pPr>
    </w:p>
    <w:p w14:paraId="17C36BB9" w14:textId="77777777" w:rsidR="00D55B26" w:rsidRPr="00F32898" w:rsidRDefault="00A83708" w:rsidP="00F32898">
      <w:pPr>
        <w:tabs>
          <w:tab w:val="center" w:pos="4320"/>
          <w:tab w:val="left" w:pos="5480"/>
        </w:tabs>
        <w:spacing w:line="480" w:lineRule="auto"/>
        <w:ind w:left="720" w:hanging="720"/>
      </w:pPr>
      <w:r w:rsidRPr="00F32898">
        <w:lastRenderedPageBreak/>
        <w:t>Taber, Charles S.,</w:t>
      </w:r>
      <w:r w:rsidR="00D55B26" w:rsidRPr="00F32898">
        <w:t xml:space="preserve"> and Lodge, M</w:t>
      </w:r>
      <w:r w:rsidRPr="00F32898">
        <w:t>ilton</w:t>
      </w:r>
      <w:r w:rsidR="00D55B26" w:rsidRPr="00F32898">
        <w:t xml:space="preserve">. (2006). Motivated Skepticism in the Evaluation of Political Beliefs. </w:t>
      </w:r>
      <w:r w:rsidR="00D55B26" w:rsidRPr="00F32898">
        <w:rPr>
          <w:i/>
          <w:iCs/>
        </w:rPr>
        <w:t>Political Science</w:t>
      </w:r>
      <w:r w:rsidR="00D55B26" w:rsidRPr="00F32898">
        <w:t xml:space="preserve">, </w:t>
      </w:r>
      <w:r w:rsidR="00D55B26" w:rsidRPr="00F32898">
        <w:rPr>
          <w:iCs/>
        </w:rPr>
        <w:t>50</w:t>
      </w:r>
      <w:r w:rsidR="00D55B26" w:rsidRPr="00F32898">
        <w:t>(3), 755–769.</w:t>
      </w:r>
    </w:p>
    <w:p w14:paraId="3F084DC8" w14:textId="77777777" w:rsidR="00D55B26" w:rsidRPr="00F32898" w:rsidRDefault="00D55B26" w:rsidP="00F32898">
      <w:pPr>
        <w:spacing w:line="480" w:lineRule="auto"/>
        <w:ind w:left="706" w:hanging="706"/>
      </w:pPr>
      <w:r w:rsidRPr="00F32898">
        <w:t xml:space="preserve">Tversky, Amos, and Daniel Kahneman. 1974. “Judgment under Uncertainty: Heuristics and Biases.” </w:t>
      </w:r>
      <w:r w:rsidRPr="00F32898">
        <w:rPr>
          <w:i/>
          <w:iCs/>
        </w:rPr>
        <w:t>Science</w:t>
      </w:r>
      <w:r w:rsidRPr="00F32898">
        <w:t>, 185 (4157): 1124-1131.</w:t>
      </w:r>
    </w:p>
    <w:p w14:paraId="3C9CC6A0" w14:textId="77777777" w:rsidR="00541615" w:rsidRDefault="00541615">
      <w:pPr>
        <w:widowControl/>
        <w:suppressAutoHyphens w:val="0"/>
        <w:rPr>
          <w:b/>
        </w:rPr>
      </w:pPr>
      <w:r>
        <w:rPr>
          <w:b/>
        </w:rPr>
        <w:br w:type="page"/>
      </w:r>
    </w:p>
    <w:p w14:paraId="657CC136" w14:textId="77777777" w:rsidR="00D55B26" w:rsidRPr="002E5161" w:rsidRDefault="00D55B26" w:rsidP="00D55B26">
      <w:pPr>
        <w:jc w:val="center"/>
        <w:rPr>
          <w:b/>
        </w:rPr>
      </w:pPr>
      <w:r w:rsidRPr="002E5161">
        <w:rPr>
          <w:b/>
        </w:rPr>
        <w:lastRenderedPageBreak/>
        <w:t>Tables and Figures</w:t>
      </w:r>
    </w:p>
    <w:p w14:paraId="7E0D33B1" w14:textId="77777777" w:rsidR="00D55B26" w:rsidRDefault="00D55B26" w:rsidP="00D55B26">
      <w:pPr>
        <w:rPr>
          <w:b/>
          <w:sz w:val="22"/>
          <w:szCs w:val="22"/>
        </w:rPr>
      </w:pPr>
    </w:p>
    <w:p w14:paraId="5B850FE6" w14:textId="77777777" w:rsidR="00D55B26" w:rsidRPr="00C16329" w:rsidRDefault="00D55B26" w:rsidP="00D55B26">
      <w:pPr>
        <w:rPr>
          <w:b/>
          <w:sz w:val="22"/>
          <w:szCs w:val="22"/>
        </w:rPr>
      </w:pPr>
      <w:r w:rsidRPr="00C16329">
        <w:rPr>
          <w:b/>
          <w:sz w:val="22"/>
          <w:szCs w:val="22"/>
        </w:rPr>
        <w:t xml:space="preserve">Table </w:t>
      </w:r>
      <w:r>
        <w:rPr>
          <w:b/>
          <w:sz w:val="22"/>
          <w:szCs w:val="22"/>
        </w:rPr>
        <w:t>1—V</w:t>
      </w:r>
      <w:r w:rsidRPr="00C16329">
        <w:rPr>
          <w:b/>
          <w:sz w:val="22"/>
          <w:szCs w:val="22"/>
        </w:rPr>
        <w:t>oting Likelihood for Jones by Contribution Source, Amount, and Candidate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711"/>
        <w:gridCol w:w="1669"/>
        <w:gridCol w:w="1301"/>
        <w:gridCol w:w="222"/>
        <w:gridCol w:w="656"/>
        <w:gridCol w:w="1669"/>
        <w:gridCol w:w="1301"/>
      </w:tblGrid>
      <w:tr w:rsidR="00D55B26" w:rsidRPr="00C16329" w14:paraId="603BF9AC" w14:textId="77777777" w:rsidTr="00C24955">
        <w:tc>
          <w:tcPr>
            <w:tcW w:w="0" w:type="auto"/>
          </w:tcPr>
          <w:p w14:paraId="1ABFDB79" w14:textId="77777777" w:rsidR="00D55B26" w:rsidRPr="00F64EFA" w:rsidRDefault="00D55B26" w:rsidP="00C24955">
            <w:pPr>
              <w:autoSpaceDE w:val="0"/>
              <w:spacing w:line="300" w:lineRule="atLeast"/>
              <w:rPr>
                <w:b/>
              </w:rPr>
            </w:pPr>
          </w:p>
        </w:tc>
        <w:tc>
          <w:tcPr>
            <w:tcW w:w="0" w:type="auto"/>
          </w:tcPr>
          <w:p w14:paraId="4D538088" w14:textId="77777777" w:rsidR="00D55B26" w:rsidRPr="00F64EFA" w:rsidRDefault="00D55B26" w:rsidP="00C24955">
            <w:pPr>
              <w:autoSpaceDE w:val="0"/>
              <w:spacing w:line="300" w:lineRule="atLeast"/>
              <w:jc w:val="center"/>
              <w:rPr>
                <w:b/>
              </w:rPr>
            </w:pPr>
          </w:p>
        </w:tc>
        <w:tc>
          <w:tcPr>
            <w:tcW w:w="0" w:type="auto"/>
          </w:tcPr>
          <w:p w14:paraId="1776B780" w14:textId="77777777" w:rsidR="00D55B26" w:rsidRPr="00F64EFA" w:rsidRDefault="00D55B26" w:rsidP="00C24955">
            <w:pPr>
              <w:autoSpaceDE w:val="0"/>
              <w:spacing w:line="300" w:lineRule="atLeast"/>
              <w:jc w:val="center"/>
              <w:rPr>
                <w:b/>
              </w:rPr>
            </w:pPr>
            <w:r w:rsidRPr="00F64EFA">
              <w:rPr>
                <w:b/>
                <w:sz w:val="22"/>
                <w:szCs w:val="22"/>
              </w:rPr>
              <w:t>2009</w:t>
            </w:r>
          </w:p>
        </w:tc>
        <w:tc>
          <w:tcPr>
            <w:tcW w:w="0" w:type="auto"/>
          </w:tcPr>
          <w:p w14:paraId="406A7806" w14:textId="77777777" w:rsidR="00D55B26" w:rsidRPr="00F64EFA" w:rsidRDefault="00D55B26" w:rsidP="00C24955">
            <w:pPr>
              <w:autoSpaceDE w:val="0"/>
              <w:spacing w:line="300" w:lineRule="atLeast"/>
              <w:jc w:val="center"/>
              <w:rPr>
                <w:b/>
              </w:rPr>
            </w:pPr>
          </w:p>
        </w:tc>
        <w:tc>
          <w:tcPr>
            <w:tcW w:w="0" w:type="auto"/>
          </w:tcPr>
          <w:p w14:paraId="4F8B65CE" w14:textId="77777777" w:rsidR="00D55B26" w:rsidRPr="00F64EFA" w:rsidRDefault="00D55B26" w:rsidP="00C24955">
            <w:pPr>
              <w:autoSpaceDE w:val="0"/>
              <w:spacing w:line="300" w:lineRule="atLeast"/>
              <w:jc w:val="center"/>
              <w:rPr>
                <w:b/>
              </w:rPr>
            </w:pPr>
          </w:p>
        </w:tc>
        <w:tc>
          <w:tcPr>
            <w:tcW w:w="0" w:type="auto"/>
          </w:tcPr>
          <w:p w14:paraId="31CD71B2" w14:textId="77777777" w:rsidR="00D55B26" w:rsidRPr="00F64EFA" w:rsidRDefault="00D55B26" w:rsidP="00C24955">
            <w:pPr>
              <w:autoSpaceDE w:val="0"/>
              <w:spacing w:line="300" w:lineRule="atLeast"/>
              <w:jc w:val="center"/>
              <w:rPr>
                <w:b/>
              </w:rPr>
            </w:pPr>
          </w:p>
        </w:tc>
        <w:tc>
          <w:tcPr>
            <w:tcW w:w="0" w:type="auto"/>
          </w:tcPr>
          <w:p w14:paraId="318F75AF" w14:textId="77777777" w:rsidR="00D55B26" w:rsidRPr="00F64EFA" w:rsidRDefault="00D55B26" w:rsidP="00C24955">
            <w:pPr>
              <w:autoSpaceDE w:val="0"/>
              <w:spacing w:line="300" w:lineRule="atLeast"/>
              <w:jc w:val="center"/>
              <w:rPr>
                <w:b/>
              </w:rPr>
            </w:pPr>
            <w:r w:rsidRPr="00F64EFA">
              <w:rPr>
                <w:b/>
                <w:sz w:val="22"/>
                <w:szCs w:val="22"/>
              </w:rPr>
              <w:t>2013</w:t>
            </w:r>
          </w:p>
        </w:tc>
        <w:tc>
          <w:tcPr>
            <w:tcW w:w="0" w:type="auto"/>
          </w:tcPr>
          <w:p w14:paraId="67A28101" w14:textId="77777777" w:rsidR="00D55B26" w:rsidRPr="00F64EFA" w:rsidRDefault="00D55B26" w:rsidP="00C24955">
            <w:pPr>
              <w:autoSpaceDE w:val="0"/>
              <w:spacing w:line="300" w:lineRule="atLeast"/>
              <w:jc w:val="center"/>
              <w:rPr>
                <w:b/>
              </w:rPr>
            </w:pPr>
          </w:p>
        </w:tc>
      </w:tr>
      <w:tr w:rsidR="00D55B26" w:rsidRPr="00C16329" w14:paraId="68447BE0" w14:textId="77777777" w:rsidTr="00C24955">
        <w:tc>
          <w:tcPr>
            <w:tcW w:w="0" w:type="auto"/>
          </w:tcPr>
          <w:p w14:paraId="77E6346A" w14:textId="77777777" w:rsidR="00D55B26" w:rsidRPr="00F64EFA" w:rsidRDefault="00D55B26" w:rsidP="00C24955">
            <w:pPr>
              <w:autoSpaceDE w:val="0"/>
              <w:spacing w:line="300" w:lineRule="atLeast"/>
              <w:rPr>
                <w:b/>
              </w:rPr>
            </w:pPr>
          </w:p>
        </w:tc>
        <w:tc>
          <w:tcPr>
            <w:tcW w:w="0" w:type="auto"/>
          </w:tcPr>
          <w:p w14:paraId="5575CD27" w14:textId="77777777" w:rsidR="00D55B26" w:rsidRPr="00F64EFA" w:rsidRDefault="00D55B26" w:rsidP="00C24955">
            <w:pPr>
              <w:autoSpaceDE w:val="0"/>
              <w:spacing w:line="300" w:lineRule="atLeast"/>
              <w:jc w:val="center"/>
              <w:rPr>
                <w:b/>
              </w:rPr>
            </w:pPr>
            <w:r w:rsidRPr="00F64EFA">
              <w:rPr>
                <w:b/>
                <w:sz w:val="22"/>
                <w:szCs w:val="22"/>
              </w:rPr>
              <w:t>N</w:t>
            </w:r>
          </w:p>
        </w:tc>
        <w:tc>
          <w:tcPr>
            <w:tcW w:w="0" w:type="auto"/>
          </w:tcPr>
          <w:p w14:paraId="234C3ABE" w14:textId="77777777" w:rsidR="00D55B26" w:rsidRPr="00F64EFA" w:rsidRDefault="00D55B26" w:rsidP="00C24955">
            <w:pPr>
              <w:autoSpaceDE w:val="0"/>
              <w:spacing w:line="300" w:lineRule="atLeast"/>
              <w:jc w:val="center"/>
              <w:rPr>
                <w:b/>
              </w:rPr>
            </w:pPr>
            <w:r w:rsidRPr="00F64EFA">
              <w:rPr>
                <w:b/>
                <w:sz w:val="22"/>
                <w:szCs w:val="22"/>
              </w:rPr>
              <w:t xml:space="preserve">0-10 </w:t>
            </w:r>
            <w:r w:rsidRPr="00F64EFA">
              <w:rPr>
                <w:b/>
                <w:sz w:val="22"/>
                <w:szCs w:val="22"/>
                <w:lang w:eastAsia="ko-KR"/>
              </w:rPr>
              <w:t>Likelihood</w:t>
            </w:r>
            <w:r w:rsidRPr="00F64EFA">
              <w:rPr>
                <w:b/>
                <w:sz w:val="22"/>
                <w:szCs w:val="22"/>
              </w:rPr>
              <w:t xml:space="preserve"> of Voting for Jones</w:t>
            </w:r>
          </w:p>
        </w:tc>
        <w:tc>
          <w:tcPr>
            <w:tcW w:w="0" w:type="auto"/>
          </w:tcPr>
          <w:p w14:paraId="3E76623E" w14:textId="77777777" w:rsidR="00D55B26" w:rsidRPr="00F64EFA" w:rsidRDefault="00D55B26" w:rsidP="00C24955">
            <w:pPr>
              <w:autoSpaceDE w:val="0"/>
              <w:spacing w:line="300" w:lineRule="atLeast"/>
              <w:jc w:val="center"/>
              <w:rPr>
                <w:b/>
              </w:rPr>
            </w:pPr>
            <w:r w:rsidRPr="00F64EFA">
              <w:rPr>
                <w:b/>
                <w:sz w:val="22"/>
                <w:szCs w:val="22"/>
              </w:rPr>
              <w:t>Standard Deviation</w:t>
            </w:r>
          </w:p>
        </w:tc>
        <w:tc>
          <w:tcPr>
            <w:tcW w:w="0" w:type="auto"/>
          </w:tcPr>
          <w:p w14:paraId="5EA3A87B" w14:textId="77777777" w:rsidR="00D55B26" w:rsidRPr="00F64EFA" w:rsidRDefault="00D55B26" w:rsidP="00C24955">
            <w:pPr>
              <w:autoSpaceDE w:val="0"/>
              <w:spacing w:line="300" w:lineRule="atLeast"/>
              <w:jc w:val="center"/>
              <w:rPr>
                <w:b/>
              </w:rPr>
            </w:pPr>
          </w:p>
        </w:tc>
        <w:tc>
          <w:tcPr>
            <w:tcW w:w="0" w:type="auto"/>
          </w:tcPr>
          <w:p w14:paraId="47836D38" w14:textId="77777777" w:rsidR="00D55B26" w:rsidRPr="00F64EFA" w:rsidRDefault="00D55B26" w:rsidP="00C24955">
            <w:pPr>
              <w:autoSpaceDE w:val="0"/>
              <w:spacing w:line="300" w:lineRule="atLeast"/>
              <w:jc w:val="center"/>
              <w:rPr>
                <w:b/>
              </w:rPr>
            </w:pPr>
            <w:r w:rsidRPr="00F64EFA">
              <w:rPr>
                <w:b/>
                <w:sz w:val="22"/>
                <w:szCs w:val="22"/>
              </w:rPr>
              <w:t>N</w:t>
            </w:r>
          </w:p>
        </w:tc>
        <w:tc>
          <w:tcPr>
            <w:tcW w:w="0" w:type="auto"/>
          </w:tcPr>
          <w:p w14:paraId="1801E4D3" w14:textId="77777777" w:rsidR="00D55B26" w:rsidRPr="00F64EFA" w:rsidRDefault="00D55B26" w:rsidP="00C24955">
            <w:pPr>
              <w:autoSpaceDE w:val="0"/>
              <w:spacing w:line="300" w:lineRule="atLeast"/>
              <w:jc w:val="center"/>
              <w:rPr>
                <w:b/>
              </w:rPr>
            </w:pPr>
            <w:r w:rsidRPr="00F64EFA">
              <w:rPr>
                <w:b/>
                <w:sz w:val="22"/>
                <w:szCs w:val="22"/>
              </w:rPr>
              <w:t xml:space="preserve">0-10 </w:t>
            </w:r>
            <w:r w:rsidRPr="00F64EFA">
              <w:rPr>
                <w:b/>
                <w:sz w:val="22"/>
                <w:szCs w:val="22"/>
                <w:lang w:eastAsia="ko-KR"/>
              </w:rPr>
              <w:t>Likelihood</w:t>
            </w:r>
            <w:r w:rsidRPr="00F64EFA">
              <w:rPr>
                <w:b/>
                <w:sz w:val="22"/>
                <w:szCs w:val="22"/>
              </w:rPr>
              <w:t xml:space="preserve"> of Voting for Jones</w:t>
            </w:r>
          </w:p>
        </w:tc>
        <w:tc>
          <w:tcPr>
            <w:tcW w:w="0" w:type="auto"/>
          </w:tcPr>
          <w:p w14:paraId="1BB42036" w14:textId="77777777" w:rsidR="00D55B26" w:rsidRPr="00F64EFA" w:rsidRDefault="00D55B26" w:rsidP="00C24955">
            <w:pPr>
              <w:autoSpaceDE w:val="0"/>
              <w:spacing w:line="300" w:lineRule="atLeast"/>
              <w:jc w:val="center"/>
              <w:rPr>
                <w:b/>
              </w:rPr>
            </w:pPr>
            <w:r w:rsidRPr="00F64EFA">
              <w:rPr>
                <w:b/>
                <w:sz w:val="22"/>
                <w:szCs w:val="22"/>
              </w:rPr>
              <w:t>Standard Deviation</w:t>
            </w:r>
          </w:p>
        </w:tc>
      </w:tr>
      <w:tr w:rsidR="00D55B26" w:rsidRPr="00C16329" w14:paraId="5B77C9E3" w14:textId="77777777" w:rsidTr="00C24955">
        <w:tc>
          <w:tcPr>
            <w:tcW w:w="0" w:type="auto"/>
          </w:tcPr>
          <w:p w14:paraId="26512C6C" w14:textId="77777777" w:rsidR="00D55B26" w:rsidRPr="000801F8" w:rsidRDefault="00D55B26" w:rsidP="00C24955">
            <w:pPr>
              <w:autoSpaceDE w:val="0"/>
              <w:spacing w:line="300" w:lineRule="atLeast"/>
              <w:rPr>
                <w:b/>
                <w:vertAlign w:val="superscript"/>
              </w:rPr>
            </w:pPr>
            <w:r w:rsidRPr="00F64EFA">
              <w:rPr>
                <w:b/>
                <w:sz w:val="22"/>
                <w:szCs w:val="22"/>
              </w:rPr>
              <w:t>Contribution Source</w:t>
            </w:r>
            <w:r w:rsidR="000801F8">
              <w:rPr>
                <w:b/>
                <w:sz w:val="22"/>
                <w:szCs w:val="22"/>
                <w:vertAlign w:val="superscript"/>
              </w:rPr>
              <w:t xml:space="preserve"> 1</w:t>
            </w:r>
          </w:p>
        </w:tc>
        <w:tc>
          <w:tcPr>
            <w:tcW w:w="0" w:type="auto"/>
          </w:tcPr>
          <w:p w14:paraId="1322023B" w14:textId="77777777" w:rsidR="00D55B26" w:rsidRPr="00F64EFA" w:rsidRDefault="00D55B26" w:rsidP="00C24955">
            <w:pPr>
              <w:autoSpaceDE w:val="0"/>
              <w:spacing w:line="300" w:lineRule="atLeast"/>
              <w:jc w:val="center"/>
            </w:pPr>
          </w:p>
        </w:tc>
        <w:tc>
          <w:tcPr>
            <w:tcW w:w="0" w:type="auto"/>
          </w:tcPr>
          <w:p w14:paraId="1ABC407E" w14:textId="77777777" w:rsidR="00D55B26" w:rsidRPr="00F64EFA" w:rsidRDefault="00D55B26" w:rsidP="00C24955">
            <w:pPr>
              <w:autoSpaceDE w:val="0"/>
              <w:spacing w:line="300" w:lineRule="atLeast"/>
              <w:jc w:val="center"/>
            </w:pPr>
          </w:p>
        </w:tc>
        <w:tc>
          <w:tcPr>
            <w:tcW w:w="0" w:type="auto"/>
          </w:tcPr>
          <w:p w14:paraId="4302D7F2" w14:textId="77777777" w:rsidR="00D55B26" w:rsidRPr="00F64EFA" w:rsidRDefault="00D55B26" w:rsidP="00C24955">
            <w:pPr>
              <w:autoSpaceDE w:val="0"/>
              <w:spacing w:line="300" w:lineRule="atLeast"/>
              <w:jc w:val="center"/>
            </w:pPr>
          </w:p>
        </w:tc>
        <w:tc>
          <w:tcPr>
            <w:tcW w:w="0" w:type="auto"/>
          </w:tcPr>
          <w:p w14:paraId="5F234544" w14:textId="77777777" w:rsidR="00D55B26" w:rsidRPr="00F64EFA" w:rsidRDefault="00D55B26" w:rsidP="00C24955">
            <w:pPr>
              <w:autoSpaceDE w:val="0"/>
              <w:spacing w:line="300" w:lineRule="atLeast"/>
              <w:jc w:val="center"/>
            </w:pPr>
          </w:p>
        </w:tc>
        <w:tc>
          <w:tcPr>
            <w:tcW w:w="0" w:type="auto"/>
          </w:tcPr>
          <w:p w14:paraId="67252030" w14:textId="77777777" w:rsidR="00D55B26" w:rsidRPr="00F64EFA" w:rsidRDefault="00D55B26" w:rsidP="00C24955">
            <w:pPr>
              <w:autoSpaceDE w:val="0"/>
              <w:spacing w:line="300" w:lineRule="atLeast"/>
              <w:jc w:val="center"/>
            </w:pPr>
          </w:p>
        </w:tc>
        <w:tc>
          <w:tcPr>
            <w:tcW w:w="0" w:type="auto"/>
          </w:tcPr>
          <w:p w14:paraId="1650AD27" w14:textId="77777777" w:rsidR="00D55B26" w:rsidRPr="00F64EFA" w:rsidRDefault="00D55B26" w:rsidP="00C24955">
            <w:pPr>
              <w:autoSpaceDE w:val="0"/>
              <w:spacing w:line="300" w:lineRule="atLeast"/>
              <w:jc w:val="center"/>
            </w:pPr>
          </w:p>
        </w:tc>
        <w:tc>
          <w:tcPr>
            <w:tcW w:w="0" w:type="auto"/>
          </w:tcPr>
          <w:p w14:paraId="300F713C" w14:textId="77777777" w:rsidR="00D55B26" w:rsidRPr="00F64EFA" w:rsidRDefault="00D55B26" w:rsidP="00C24955">
            <w:pPr>
              <w:autoSpaceDE w:val="0"/>
              <w:spacing w:line="300" w:lineRule="atLeast"/>
              <w:jc w:val="center"/>
            </w:pPr>
          </w:p>
        </w:tc>
      </w:tr>
      <w:tr w:rsidR="00D55B26" w:rsidRPr="00C16329" w14:paraId="2172EAC0" w14:textId="77777777" w:rsidTr="00C24955">
        <w:tc>
          <w:tcPr>
            <w:tcW w:w="0" w:type="auto"/>
          </w:tcPr>
          <w:p w14:paraId="1D88E10F" w14:textId="77777777" w:rsidR="00D55B26" w:rsidRPr="00F64EFA" w:rsidRDefault="00D55B26" w:rsidP="00C24955">
            <w:pPr>
              <w:autoSpaceDE w:val="0"/>
              <w:spacing w:line="300" w:lineRule="atLeast"/>
            </w:pPr>
            <w:r w:rsidRPr="00F64EFA">
              <w:rPr>
                <w:sz w:val="22"/>
                <w:szCs w:val="22"/>
              </w:rPr>
              <w:t xml:space="preserve"> Friends and acquaintances</w:t>
            </w:r>
          </w:p>
        </w:tc>
        <w:tc>
          <w:tcPr>
            <w:tcW w:w="0" w:type="auto"/>
          </w:tcPr>
          <w:p w14:paraId="272EBCE4" w14:textId="77777777" w:rsidR="00D55B26" w:rsidRPr="00F64EFA" w:rsidRDefault="00D55B26" w:rsidP="00C24955">
            <w:pPr>
              <w:autoSpaceDE w:val="0"/>
              <w:spacing w:line="300" w:lineRule="atLeast"/>
              <w:jc w:val="center"/>
            </w:pPr>
            <w:r w:rsidRPr="00F64EFA">
              <w:rPr>
                <w:sz w:val="22"/>
                <w:szCs w:val="22"/>
              </w:rPr>
              <w:t>500</w:t>
            </w:r>
          </w:p>
        </w:tc>
        <w:tc>
          <w:tcPr>
            <w:tcW w:w="0" w:type="auto"/>
          </w:tcPr>
          <w:p w14:paraId="47113265" w14:textId="77777777" w:rsidR="00D55B26" w:rsidRPr="00F64EFA" w:rsidRDefault="00D55B26" w:rsidP="00C24955">
            <w:pPr>
              <w:autoSpaceDE w:val="0"/>
              <w:spacing w:line="300" w:lineRule="atLeast"/>
              <w:jc w:val="center"/>
            </w:pPr>
            <w:r w:rsidRPr="00F64EFA">
              <w:rPr>
                <w:sz w:val="22"/>
                <w:szCs w:val="22"/>
              </w:rPr>
              <w:t>4.58</w:t>
            </w:r>
          </w:p>
        </w:tc>
        <w:tc>
          <w:tcPr>
            <w:tcW w:w="0" w:type="auto"/>
          </w:tcPr>
          <w:p w14:paraId="79C7360A" w14:textId="77777777" w:rsidR="00D55B26" w:rsidRPr="00F64EFA" w:rsidRDefault="00D55B26" w:rsidP="00C24955">
            <w:pPr>
              <w:autoSpaceDE w:val="0"/>
              <w:spacing w:line="300" w:lineRule="atLeast"/>
              <w:jc w:val="center"/>
            </w:pPr>
            <w:r w:rsidRPr="00F64EFA">
              <w:rPr>
                <w:sz w:val="22"/>
                <w:szCs w:val="22"/>
              </w:rPr>
              <w:t>2.69</w:t>
            </w:r>
          </w:p>
        </w:tc>
        <w:tc>
          <w:tcPr>
            <w:tcW w:w="0" w:type="auto"/>
          </w:tcPr>
          <w:p w14:paraId="6A71064E" w14:textId="77777777" w:rsidR="00D55B26" w:rsidRPr="00F64EFA" w:rsidRDefault="00D55B26" w:rsidP="00C24955">
            <w:pPr>
              <w:autoSpaceDE w:val="0"/>
              <w:spacing w:line="300" w:lineRule="atLeast"/>
              <w:jc w:val="center"/>
            </w:pPr>
          </w:p>
        </w:tc>
        <w:tc>
          <w:tcPr>
            <w:tcW w:w="0" w:type="auto"/>
          </w:tcPr>
          <w:p w14:paraId="0D0BD51A" w14:textId="77777777" w:rsidR="00D55B26" w:rsidRPr="00F64EFA" w:rsidRDefault="00D55B26" w:rsidP="00C24955">
            <w:pPr>
              <w:autoSpaceDE w:val="0"/>
              <w:spacing w:line="300" w:lineRule="atLeast"/>
              <w:jc w:val="center"/>
            </w:pPr>
            <w:r w:rsidRPr="00F64EFA">
              <w:rPr>
                <w:sz w:val="22"/>
                <w:szCs w:val="22"/>
              </w:rPr>
              <w:t>672</w:t>
            </w:r>
          </w:p>
        </w:tc>
        <w:tc>
          <w:tcPr>
            <w:tcW w:w="0" w:type="auto"/>
          </w:tcPr>
          <w:p w14:paraId="19FAF61A" w14:textId="77777777" w:rsidR="00D55B26" w:rsidRPr="00F64EFA" w:rsidRDefault="00D55B26" w:rsidP="00C24955">
            <w:pPr>
              <w:autoSpaceDE w:val="0"/>
              <w:spacing w:line="300" w:lineRule="atLeast"/>
              <w:jc w:val="center"/>
            </w:pPr>
            <w:r w:rsidRPr="00F64EFA">
              <w:rPr>
                <w:sz w:val="22"/>
                <w:szCs w:val="22"/>
              </w:rPr>
              <w:t>4.26</w:t>
            </w:r>
          </w:p>
        </w:tc>
        <w:tc>
          <w:tcPr>
            <w:tcW w:w="0" w:type="auto"/>
          </w:tcPr>
          <w:p w14:paraId="4BC00B00" w14:textId="77777777" w:rsidR="00D55B26" w:rsidRPr="00F64EFA" w:rsidRDefault="00D55B26" w:rsidP="00C24955">
            <w:pPr>
              <w:autoSpaceDE w:val="0"/>
              <w:spacing w:line="300" w:lineRule="atLeast"/>
              <w:jc w:val="center"/>
            </w:pPr>
            <w:r w:rsidRPr="00F64EFA">
              <w:rPr>
                <w:sz w:val="22"/>
                <w:szCs w:val="22"/>
              </w:rPr>
              <w:t>2.77</w:t>
            </w:r>
          </w:p>
        </w:tc>
      </w:tr>
      <w:tr w:rsidR="00D55B26" w:rsidRPr="00C16329" w14:paraId="3E13BFCA" w14:textId="77777777" w:rsidTr="00C24955">
        <w:tc>
          <w:tcPr>
            <w:tcW w:w="0" w:type="auto"/>
          </w:tcPr>
          <w:p w14:paraId="50A482DE" w14:textId="77777777" w:rsidR="00D55B26" w:rsidRPr="00A6261A" w:rsidRDefault="00D55B26" w:rsidP="00C24955">
            <w:pPr>
              <w:autoSpaceDE w:val="0"/>
              <w:spacing w:line="300" w:lineRule="atLeast"/>
              <w:rPr>
                <w:vertAlign w:val="superscript"/>
              </w:rPr>
            </w:pPr>
            <w:r w:rsidRPr="00F64EFA">
              <w:rPr>
                <w:sz w:val="22"/>
                <w:szCs w:val="22"/>
              </w:rPr>
              <w:t xml:space="preserve"> Trial lawyers/  Oil companies</w:t>
            </w:r>
            <w:r w:rsidR="00A6261A">
              <w:rPr>
                <w:sz w:val="22"/>
                <w:szCs w:val="22"/>
              </w:rPr>
              <w:t xml:space="preserve"> </w:t>
            </w:r>
          </w:p>
        </w:tc>
        <w:tc>
          <w:tcPr>
            <w:tcW w:w="0" w:type="auto"/>
          </w:tcPr>
          <w:p w14:paraId="523D648D" w14:textId="77777777" w:rsidR="00D55B26" w:rsidRPr="00F64EFA" w:rsidRDefault="00D55B26" w:rsidP="00C24955">
            <w:pPr>
              <w:autoSpaceDE w:val="0"/>
              <w:spacing w:line="300" w:lineRule="atLeast"/>
              <w:jc w:val="center"/>
            </w:pPr>
            <w:r w:rsidRPr="00F64EFA">
              <w:rPr>
                <w:sz w:val="22"/>
                <w:szCs w:val="22"/>
              </w:rPr>
              <w:t>547</w:t>
            </w:r>
          </w:p>
        </w:tc>
        <w:tc>
          <w:tcPr>
            <w:tcW w:w="0" w:type="auto"/>
          </w:tcPr>
          <w:p w14:paraId="18475043" w14:textId="77777777" w:rsidR="00D55B26" w:rsidRPr="00F64EFA" w:rsidRDefault="00D55B26" w:rsidP="00C24955">
            <w:pPr>
              <w:autoSpaceDE w:val="0"/>
              <w:spacing w:line="300" w:lineRule="atLeast"/>
              <w:jc w:val="center"/>
            </w:pPr>
            <w:r w:rsidRPr="00F64EFA">
              <w:rPr>
                <w:sz w:val="22"/>
                <w:szCs w:val="22"/>
              </w:rPr>
              <w:t>3.69</w:t>
            </w:r>
          </w:p>
        </w:tc>
        <w:tc>
          <w:tcPr>
            <w:tcW w:w="0" w:type="auto"/>
          </w:tcPr>
          <w:p w14:paraId="02DEE86B" w14:textId="77777777" w:rsidR="00D55B26" w:rsidRPr="00F64EFA" w:rsidRDefault="00D55B26" w:rsidP="00C24955">
            <w:pPr>
              <w:autoSpaceDE w:val="0"/>
              <w:spacing w:line="300" w:lineRule="atLeast"/>
              <w:jc w:val="center"/>
            </w:pPr>
            <w:r w:rsidRPr="00F64EFA">
              <w:rPr>
                <w:sz w:val="22"/>
                <w:szCs w:val="22"/>
              </w:rPr>
              <w:t>2.68</w:t>
            </w:r>
          </w:p>
        </w:tc>
        <w:tc>
          <w:tcPr>
            <w:tcW w:w="0" w:type="auto"/>
          </w:tcPr>
          <w:p w14:paraId="3C870EB0" w14:textId="77777777" w:rsidR="00D55B26" w:rsidRPr="00F64EFA" w:rsidRDefault="00D55B26" w:rsidP="00C24955">
            <w:pPr>
              <w:autoSpaceDE w:val="0"/>
              <w:spacing w:line="300" w:lineRule="atLeast"/>
              <w:jc w:val="center"/>
            </w:pPr>
          </w:p>
        </w:tc>
        <w:tc>
          <w:tcPr>
            <w:tcW w:w="0" w:type="auto"/>
          </w:tcPr>
          <w:p w14:paraId="244B4A29" w14:textId="77777777" w:rsidR="00D55B26" w:rsidRPr="00F64EFA" w:rsidRDefault="00D55B26" w:rsidP="00C24955">
            <w:pPr>
              <w:autoSpaceDE w:val="0"/>
              <w:spacing w:line="300" w:lineRule="atLeast"/>
              <w:jc w:val="center"/>
            </w:pPr>
            <w:r w:rsidRPr="00F64EFA">
              <w:rPr>
                <w:sz w:val="22"/>
                <w:szCs w:val="22"/>
              </w:rPr>
              <w:t>654</w:t>
            </w:r>
          </w:p>
        </w:tc>
        <w:tc>
          <w:tcPr>
            <w:tcW w:w="0" w:type="auto"/>
          </w:tcPr>
          <w:p w14:paraId="7768D7AA" w14:textId="77777777" w:rsidR="00D55B26" w:rsidRPr="00F64EFA" w:rsidRDefault="00D55B26" w:rsidP="00C24955">
            <w:pPr>
              <w:autoSpaceDE w:val="0"/>
              <w:spacing w:line="300" w:lineRule="atLeast"/>
              <w:jc w:val="center"/>
            </w:pPr>
            <w:r w:rsidRPr="00F64EFA">
              <w:rPr>
                <w:sz w:val="22"/>
                <w:szCs w:val="22"/>
              </w:rPr>
              <w:t>3.90</w:t>
            </w:r>
          </w:p>
        </w:tc>
        <w:tc>
          <w:tcPr>
            <w:tcW w:w="0" w:type="auto"/>
          </w:tcPr>
          <w:p w14:paraId="0C268D9F" w14:textId="77777777" w:rsidR="00D55B26" w:rsidRPr="00F64EFA" w:rsidRDefault="00D55B26" w:rsidP="00C24955">
            <w:pPr>
              <w:autoSpaceDE w:val="0"/>
              <w:spacing w:line="300" w:lineRule="atLeast"/>
              <w:jc w:val="center"/>
            </w:pPr>
            <w:r w:rsidRPr="00F64EFA">
              <w:rPr>
                <w:sz w:val="22"/>
                <w:szCs w:val="22"/>
              </w:rPr>
              <w:t>2.83</w:t>
            </w:r>
          </w:p>
        </w:tc>
      </w:tr>
      <w:tr w:rsidR="00D55B26" w:rsidRPr="00C16329" w14:paraId="661F9F9B" w14:textId="77777777" w:rsidTr="00C24955">
        <w:tc>
          <w:tcPr>
            <w:tcW w:w="0" w:type="auto"/>
          </w:tcPr>
          <w:p w14:paraId="16B1769C" w14:textId="77777777" w:rsidR="00D55B26" w:rsidRPr="00F64EFA" w:rsidRDefault="00D55B26" w:rsidP="00C24955">
            <w:pPr>
              <w:autoSpaceDE w:val="0"/>
              <w:spacing w:line="300" w:lineRule="atLeast"/>
            </w:pPr>
            <w:r w:rsidRPr="00F64EFA">
              <w:rPr>
                <w:sz w:val="22"/>
                <w:szCs w:val="22"/>
              </w:rPr>
              <w:t xml:space="preserve"> Tobacco/ Green energy companies</w:t>
            </w:r>
          </w:p>
        </w:tc>
        <w:tc>
          <w:tcPr>
            <w:tcW w:w="0" w:type="auto"/>
          </w:tcPr>
          <w:p w14:paraId="31200A6D" w14:textId="77777777" w:rsidR="00D55B26" w:rsidRPr="00F64EFA" w:rsidRDefault="00D55B26" w:rsidP="00C24955">
            <w:pPr>
              <w:autoSpaceDE w:val="0"/>
              <w:spacing w:line="300" w:lineRule="atLeast"/>
              <w:jc w:val="center"/>
            </w:pPr>
            <w:r w:rsidRPr="00F64EFA">
              <w:rPr>
                <w:sz w:val="22"/>
                <w:szCs w:val="22"/>
              </w:rPr>
              <w:t>559</w:t>
            </w:r>
          </w:p>
        </w:tc>
        <w:tc>
          <w:tcPr>
            <w:tcW w:w="0" w:type="auto"/>
          </w:tcPr>
          <w:p w14:paraId="353CC393" w14:textId="77777777" w:rsidR="00D55B26" w:rsidRPr="00F64EFA" w:rsidRDefault="00D55B26" w:rsidP="00C24955">
            <w:pPr>
              <w:autoSpaceDE w:val="0"/>
              <w:spacing w:line="300" w:lineRule="atLeast"/>
              <w:jc w:val="center"/>
            </w:pPr>
            <w:r w:rsidRPr="00F64EFA">
              <w:rPr>
                <w:sz w:val="22"/>
                <w:szCs w:val="22"/>
              </w:rPr>
              <w:t>3.64</w:t>
            </w:r>
          </w:p>
        </w:tc>
        <w:tc>
          <w:tcPr>
            <w:tcW w:w="0" w:type="auto"/>
          </w:tcPr>
          <w:p w14:paraId="7727BF48" w14:textId="77777777" w:rsidR="00D55B26" w:rsidRPr="00F64EFA" w:rsidRDefault="00D55B26" w:rsidP="00C24955">
            <w:pPr>
              <w:autoSpaceDE w:val="0"/>
              <w:spacing w:line="300" w:lineRule="atLeast"/>
              <w:jc w:val="center"/>
            </w:pPr>
            <w:r w:rsidRPr="00F64EFA">
              <w:rPr>
                <w:sz w:val="22"/>
                <w:szCs w:val="22"/>
              </w:rPr>
              <w:t>2.78</w:t>
            </w:r>
          </w:p>
        </w:tc>
        <w:tc>
          <w:tcPr>
            <w:tcW w:w="0" w:type="auto"/>
          </w:tcPr>
          <w:p w14:paraId="4AE2280A" w14:textId="77777777" w:rsidR="00D55B26" w:rsidRPr="00F64EFA" w:rsidRDefault="00D55B26" w:rsidP="00C24955">
            <w:pPr>
              <w:autoSpaceDE w:val="0"/>
              <w:spacing w:line="300" w:lineRule="atLeast"/>
              <w:jc w:val="center"/>
            </w:pPr>
          </w:p>
        </w:tc>
        <w:tc>
          <w:tcPr>
            <w:tcW w:w="0" w:type="auto"/>
          </w:tcPr>
          <w:p w14:paraId="6126DD46" w14:textId="77777777" w:rsidR="00D55B26" w:rsidRPr="00F64EFA" w:rsidRDefault="00D55B26" w:rsidP="00C24955">
            <w:pPr>
              <w:autoSpaceDE w:val="0"/>
              <w:spacing w:line="300" w:lineRule="atLeast"/>
              <w:jc w:val="center"/>
            </w:pPr>
            <w:r w:rsidRPr="00F64EFA">
              <w:rPr>
                <w:sz w:val="22"/>
                <w:szCs w:val="22"/>
              </w:rPr>
              <w:t>637</w:t>
            </w:r>
          </w:p>
        </w:tc>
        <w:tc>
          <w:tcPr>
            <w:tcW w:w="0" w:type="auto"/>
          </w:tcPr>
          <w:p w14:paraId="2B03B7DF" w14:textId="77777777" w:rsidR="00D55B26" w:rsidRPr="00F64EFA" w:rsidRDefault="00D55B26" w:rsidP="00C24955">
            <w:pPr>
              <w:autoSpaceDE w:val="0"/>
              <w:spacing w:line="300" w:lineRule="atLeast"/>
              <w:jc w:val="center"/>
            </w:pPr>
            <w:r w:rsidRPr="00F64EFA">
              <w:rPr>
                <w:sz w:val="22"/>
                <w:szCs w:val="22"/>
              </w:rPr>
              <w:t>4.18</w:t>
            </w:r>
          </w:p>
        </w:tc>
        <w:tc>
          <w:tcPr>
            <w:tcW w:w="0" w:type="auto"/>
          </w:tcPr>
          <w:p w14:paraId="48B1C000" w14:textId="77777777" w:rsidR="00D55B26" w:rsidRPr="00F64EFA" w:rsidRDefault="00D55B26" w:rsidP="00C24955">
            <w:pPr>
              <w:autoSpaceDE w:val="0"/>
              <w:spacing w:line="300" w:lineRule="atLeast"/>
              <w:jc w:val="center"/>
            </w:pPr>
            <w:r w:rsidRPr="00F64EFA">
              <w:rPr>
                <w:sz w:val="22"/>
                <w:szCs w:val="22"/>
              </w:rPr>
              <w:t>2.80</w:t>
            </w:r>
          </w:p>
        </w:tc>
      </w:tr>
      <w:tr w:rsidR="00D55B26" w:rsidRPr="00C16329" w14:paraId="3CE3DE3F" w14:textId="77777777" w:rsidTr="00C24955">
        <w:tc>
          <w:tcPr>
            <w:tcW w:w="0" w:type="auto"/>
          </w:tcPr>
          <w:p w14:paraId="663AF4D1" w14:textId="77777777" w:rsidR="00D55B26" w:rsidRPr="00F64EFA" w:rsidRDefault="00D55B26" w:rsidP="00C24955">
            <w:pPr>
              <w:autoSpaceDE w:val="0"/>
              <w:spacing w:line="300" w:lineRule="atLeast"/>
            </w:pPr>
          </w:p>
        </w:tc>
        <w:tc>
          <w:tcPr>
            <w:tcW w:w="0" w:type="auto"/>
          </w:tcPr>
          <w:p w14:paraId="7ECEEB43" w14:textId="77777777" w:rsidR="00D55B26" w:rsidRPr="00F64EFA" w:rsidRDefault="00D55B26" w:rsidP="00C24955">
            <w:pPr>
              <w:autoSpaceDE w:val="0"/>
              <w:spacing w:line="300" w:lineRule="atLeast"/>
              <w:jc w:val="center"/>
            </w:pPr>
          </w:p>
        </w:tc>
        <w:tc>
          <w:tcPr>
            <w:tcW w:w="0" w:type="auto"/>
          </w:tcPr>
          <w:p w14:paraId="63245469" w14:textId="77777777" w:rsidR="00D55B26" w:rsidRPr="00F64EFA" w:rsidRDefault="00D55B26" w:rsidP="00C24955">
            <w:pPr>
              <w:autoSpaceDE w:val="0"/>
              <w:spacing w:line="300" w:lineRule="atLeast"/>
              <w:jc w:val="center"/>
            </w:pPr>
          </w:p>
        </w:tc>
        <w:tc>
          <w:tcPr>
            <w:tcW w:w="0" w:type="auto"/>
          </w:tcPr>
          <w:p w14:paraId="03C72FB7" w14:textId="77777777" w:rsidR="00D55B26" w:rsidRPr="00F64EFA" w:rsidRDefault="00D55B26" w:rsidP="00C24955">
            <w:pPr>
              <w:autoSpaceDE w:val="0"/>
              <w:spacing w:line="300" w:lineRule="atLeast"/>
              <w:jc w:val="center"/>
            </w:pPr>
          </w:p>
        </w:tc>
        <w:tc>
          <w:tcPr>
            <w:tcW w:w="0" w:type="auto"/>
          </w:tcPr>
          <w:p w14:paraId="0B7E44B8" w14:textId="77777777" w:rsidR="00D55B26" w:rsidRPr="00F64EFA" w:rsidRDefault="00D55B26" w:rsidP="00C24955">
            <w:pPr>
              <w:autoSpaceDE w:val="0"/>
              <w:spacing w:line="300" w:lineRule="atLeast"/>
              <w:jc w:val="center"/>
            </w:pPr>
          </w:p>
        </w:tc>
        <w:tc>
          <w:tcPr>
            <w:tcW w:w="0" w:type="auto"/>
          </w:tcPr>
          <w:p w14:paraId="061EF408" w14:textId="77777777" w:rsidR="00D55B26" w:rsidRPr="00F64EFA" w:rsidRDefault="00D55B26" w:rsidP="00C24955">
            <w:pPr>
              <w:autoSpaceDE w:val="0"/>
              <w:spacing w:line="300" w:lineRule="atLeast"/>
              <w:jc w:val="center"/>
            </w:pPr>
          </w:p>
        </w:tc>
        <w:tc>
          <w:tcPr>
            <w:tcW w:w="0" w:type="auto"/>
          </w:tcPr>
          <w:p w14:paraId="6C847852" w14:textId="77777777" w:rsidR="00D55B26" w:rsidRPr="00F64EFA" w:rsidRDefault="00D55B26" w:rsidP="00C24955">
            <w:pPr>
              <w:autoSpaceDE w:val="0"/>
              <w:spacing w:line="300" w:lineRule="atLeast"/>
              <w:jc w:val="center"/>
            </w:pPr>
          </w:p>
        </w:tc>
        <w:tc>
          <w:tcPr>
            <w:tcW w:w="0" w:type="auto"/>
          </w:tcPr>
          <w:p w14:paraId="3108E271" w14:textId="77777777" w:rsidR="00D55B26" w:rsidRPr="00F64EFA" w:rsidRDefault="00D55B26" w:rsidP="00C24955">
            <w:pPr>
              <w:autoSpaceDE w:val="0"/>
              <w:spacing w:line="300" w:lineRule="atLeast"/>
              <w:jc w:val="center"/>
            </w:pPr>
          </w:p>
        </w:tc>
      </w:tr>
      <w:tr w:rsidR="00D55B26" w:rsidRPr="00C16329" w14:paraId="3E4CCFE6" w14:textId="77777777" w:rsidTr="00C24955">
        <w:tc>
          <w:tcPr>
            <w:tcW w:w="0" w:type="auto"/>
          </w:tcPr>
          <w:p w14:paraId="0CD1DE86" w14:textId="77777777" w:rsidR="00D55B26" w:rsidRPr="000801F8" w:rsidRDefault="00D55B26" w:rsidP="00C24955">
            <w:pPr>
              <w:autoSpaceDE w:val="0"/>
              <w:spacing w:line="300" w:lineRule="atLeast"/>
              <w:rPr>
                <w:b/>
                <w:vertAlign w:val="superscript"/>
              </w:rPr>
            </w:pPr>
            <w:r w:rsidRPr="00F64EFA">
              <w:rPr>
                <w:b/>
                <w:sz w:val="22"/>
                <w:szCs w:val="22"/>
              </w:rPr>
              <w:t>Contribution Amount</w:t>
            </w:r>
            <w:r w:rsidR="000801F8">
              <w:rPr>
                <w:b/>
                <w:sz w:val="22"/>
                <w:szCs w:val="22"/>
              </w:rPr>
              <w:t xml:space="preserve"> </w:t>
            </w:r>
            <w:r w:rsidR="000801F8">
              <w:rPr>
                <w:b/>
                <w:sz w:val="22"/>
                <w:szCs w:val="22"/>
                <w:vertAlign w:val="superscript"/>
              </w:rPr>
              <w:t>2</w:t>
            </w:r>
          </w:p>
        </w:tc>
        <w:tc>
          <w:tcPr>
            <w:tcW w:w="0" w:type="auto"/>
          </w:tcPr>
          <w:p w14:paraId="6A5260AB" w14:textId="77777777" w:rsidR="00D55B26" w:rsidRPr="00F64EFA" w:rsidRDefault="00D55B26" w:rsidP="00C24955">
            <w:pPr>
              <w:autoSpaceDE w:val="0"/>
              <w:spacing w:line="300" w:lineRule="atLeast"/>
              <w:jc w:val="center"/>
            </w:pPr>
          </w:p>
        </w:tc>
        <w:tc>
          <w:tcPr>
            <w:tcW w:w="0" w:type="auto"/>
          </w:tcPr>
          <w:p w14:paraId="75535D7B" w14:textId="77777777" w:rsidR="00D55B26" w:rsidRPr="00F64EFA" w:rsidRDefault="00D55B26" w:rsidP="00C24955">
            <w:pPr>
              <w:autoSpaceDE w:val="0"/>
              <w:spacing w:line="300" w:lineRule="atLeast"/>
              <w:jc w:val="center"/>
            </w:pPr>
          </w:p>
        </w:tc>
        <w:tc>
          <w:tcPr>
            <w:tcW w:w="0" w:type="auto"/>
          </w:tcPr>
          <w:p w14:paraId="1A361DF7" w14:textId="77777777" w:rsidR="00D55B26" w:rsidRPr="00F64EFA" w:rsidRDefault="00D55B26" w:rsidP="00C24955">
            <w:pPr>
              <w:autoSpaceDE w:val="0"/>
              <w:spacing w:line="300" w:lineRule="atLeast"/>
              <w:jc w:val="center"/>
            </w:pPr>
          </w:p>
        </w:tc>
        <w:tc>
          <w:tcPr>
            <w:tcW w:w="0" w:type="auto"/>
          </w:tcPr>
          <w:p w14:paraId="29283DF6" w14:textId="77777777" w:rsidR="00D55B26" w:rsidRPr="00F64EFA" w:rsidRDefault="00D55B26" w:rsidP="00C24955">
            <w:pPr>
              <w:autoSpaceDE w:val="0"/>
              <w:spacing w:line="300" w:lineRule="atLeast"/>
              <w:jc w:val="center"/>
            </w:pPr>
          </w:p>
        </w:tc>
        <w:tc>
          <w:tcPr>
            <w:tcW w:w="0" w:type="auto"/>
          </w:tcPr>
          <w:p w14:paraId="07DDC6CF" w14:textId="77777777" w:rsidR="00D55B26" w:rsidRPr="00F64EFA" w:rsidRDefault="00D55B26" w:rsidP="00C24955">
            <w:pPr>
              <w:autoSpaceDE w:val="0"/>
              <w:spacing w:line="300" w:lineRule="atLeast"/>
              <w:jc w:val="center"/>
            </w:pPr>
          </w:p>
        </w:tc>
        <w:tc>
          <w:tcPr>
            <w:tcW w:w="0" w:type="auto"/>
          </w:tcPr>
          <w:p w14:paraId="6220AEC4" w14:textId="77777777" w:rsidR="00D55B26" w:rsidRPr="00F64EFA" w:rsidRDefault="00D55B26" w:rsidP="00C24955">
            <w:pPr>
              <w:autoSpaceDE w:val="0"/>
              <w:spacing w:line="300" w:lineRule="atLeast"/>
              <w:jc w:val="center"/>
            </w:pPr>
          </w:p>
        </w:tc>
        <w:tc>
          <w:tcPr>
            <w:tcW w:w="0" w:type="auto"/>
          </w:tcPr>
          <w:p w14:paraId="1ADD7E8E" w14:textId="77777777" w:rsidR="00D55B26" w:rsidRPr="00F64EFA" w:rsidRDefault="00D55B26" w:rsidP="00C24955">
            <w:pPr>
              <w:autoSpaceDE w:val="0"/>
              <w:spacing w:line="300" w:lineRule="atLeast"/>
              <w:jc w:val="center"/>
            </w:pPr>
          </w:p>
        </w:tc>
      </w:tr>
      <w:tr w:rsidR="00D55B26" w:rsidRPr="00C16329" w14:paraId="168B16FE" w14:textId="77777777" w:rsidTr="00C24955">
        <w:tc>
          <w:tcPr>
            <w:tcW w:w="0" w:type="auto"/>
          </w:tcPr>
          <w:p w14:paraId="23D07AE1" w14:textId="77777777" w:rsidR="00D55B26" w:rsidRPr="00F64EFA" w:rsidRDefault="00D55B26" w:rsidP="00C24955">
            <w:pPr>
              <w:autoSpaceDE w:val="0"/>
              <w:spacing w:line="300" w:lineRule="atLeast"/>
            </w:pPr>
            <w:r w:rsidRPr="00F64EFA">
              <w:rPr>
                <w:sz w:val="22"/>
                <w:szCs w:val="22"/>
              </w:rPr>
              <w:t xml:space="preserve"> $50,000</w:t>
            </w:r>
          </w:p>
        </w:tc>
        <w:tc>
          <w:tcPr>
            <w:tcW w:w="0" w:type="auto"/>
          </w:tcPr>
          <w:p w14:paraId="1006D8CA" w14:textId="77777777" w:rsidR="00D55B26" w:rsidRPr="00F64EFA" w:rsidRDefault="00D55B26" w:rsidP="00C24955">
            <w:pPr>
              <w:autoSpaceDE w:val="0"/>
              <w:spacing w:line="300" w:lineRule="atLeast"/>
              <w:jc w:val="center"/>
            </w:pPr>
            <w:r w:rsidRPr="00F64EFA">
              <w:rPr>
                <w:sz w:val="22"/>
                <w:szCs w:val="22"/>
              </w:rPr>
              <w:t>766</w:t>
            </w:r>
          </w:p>
        </w:tc>
        <w:tc>
          <w:tcPr>
            <w:tcW w:w="0" w:type="auto"/>
          </w:tcPr>
          <w:p w14:paraId="71B7890F" w14:textId="77777777" w:rsidR="00D55B26" w:rsidRPr="00F64EFA" w:rsidRDefault="00D55B26" w:rsidP="00C24955">
            <w:pPr>
              <w:autoSpaceDE w:val="0"/>
              <w:spacing w:line="300" w:lineRule="atLeast"/>
              <w:jc w:val="center"/>
            </w:pPr>
            <w:r w:rsidRPr="00F64EFA">
              <w:rPr>
                <w:sz w:val="22"/>
                <w:szCs w:val="22"/>
              </w:rPr>
              <w:t>3.95</w:t>
            </w:r>
          </w:p>
        </w:tc>
        <w:tc>
          <w:tcPr>
            <w:tcW w:w="0" w:type="auto"/>
          </w:tcPr>
          <w:p w14:paraId="2911EFD3" w14:textId="77777777" w:rsidR="00D55B26" w:rsidRPr="00F64EFA" w:rsidRDefault="00D55B26" w:rsidP="00C24955">
            <w:pPr>
              <w:autoSpaceDE w:val="0"/>
              <w:spacing w:line="300" w:lineRule="atLeast"/>
              <w:jc w:val="center"/>
            </w:pPr>
            <w:r w:rsidRPr="00F64EFA">
              <w:rPr>
                <w:sz w:val="22"/>
                <w:szCs w:val="22"/>
              </w:rPr>
              <w:t>2.68</w:t>
            </w:r>
          </w:p>
        </w:tc>
        <w:tc>
          <w:tcPr>
            <w:tcW w:w="0" w:type="auto"/>
          </w:tcPr>
          <w:p w14:paraId="302A305E" w14:textId="77777777" w:rsidR="00D55B26" w:rsidRPr="00F64EFA" w:rsidRDefault="00D55B26" w:rsidP="00C24955">
            <w:pPr>
              <w:autoSpaceDE w:val="0"/>
              <w:spacing w:line="300" w:lineRule="atLeast"/>
              <w:jc w:val="center"/>
            </w:pPr>
          </w:p>
        </w:tc>
        <w:tc>
          <w:tcPr>
            <w:tcW w:w="0" w:type="auto"/>
          </w:tcPr>
          <w:p w14:paraId="5D8E6142" w14:textId="77777777" w:rsidR="00D55B26" w:rsidRPr="00F64EFA" w:rsidRDefault="00D55B26" w:rsidP="00C24955">
            <w:pPr>
              <w:autoSpaceDE w:val="0"/>
              <w:spacing w:line="300" w:lineRule="atLeast"/>
              <w:jc w:val="center"/>
            </w:pPr>
            <w:r w:rsidRPr="00F64EFA">
              <w:rPr>
                <w:sz w:val="22"/>
                <w:szCs w:val="22"/>
              </w:rPr>
              <w:t>1005</w:t>
            </w:r>
          </w:p>
        </w:tc>
        <w:tc>
          <w:tcPr>
            <w:tcW w:w="0" w:type="auto"/>
          </w:tcPr>
          <w:p w14:paraId="3A361C62" w14:textId="77777777" w:rsidR="00D55B26" w:rsidRPr="00F64EFA" w:rsidRDefault="00D55B26" w:rsidP="00C24955">
            <w:pPr>
              <w:autoSpaceDE w:val="0"/>
              <w:spacing w:line="300" w:lineRule="atLeast"/>
              <w:jc w:val="center"/>
            </w:pPr>
            <w:r w:rsidRPr="00F64EFA">
              <w:rPr>
                <w:sz w:val="22"/>
                <w:szCs w:val="22"/>
              </w:rPr>
              <w:t>4.20</w:t>
            </w:r>
          </w:p>
        </w:tc>
        <w:tc>
          <w:tcPr>
            <w:tcW w:w="0" w:type="auto"/>
          </w:tcPr>
          <w:p w14:paraId="48EBBBA9" w14:textId="77777777" w:rsidR="00D55B26" w:rsidRPr="00F64EFA" w:rsidRDefault="00D55B26" w:rsidP="00C24955">
            <w:pPr>
              <w:autoSpaceDE w:val="0"/>
              <w:spacing w:line="300" w:lineRule="atLeast"/>
              <w:jc w:val="center"/>
            </w:pPr>
            <w:r w:rsidRPr="00F64EFA">
              <w:rPr>
                <w:sz w:val="22"/>
                <w:szCs w:val="22"/>
              </w:rPr>
              <w:t>2.74</w:t>
            </w:r>
          </w:p>
        </w:tc>
      </w:tr>
      <w:tr w:rsidR="00D55B26" w:rsidRPr="00C16329" w14:paraId="26F04EF2" w14:textId="77777777" w:rsidTr="00C24955">
        <w:tc>
          <w:tcPr>
            <w:tcW w:w="0" w:type="auto"/>
          </w:tcPr>
          <w:p w14:paraId="70FDC485" w14:textId="77777777" w:rsidR="00D55B26" w:rsidRPr="00F64EFA" w:rsidRDefault="00D55B26" w:rsidP="00C24955">
            <w:pPr>
              <w:autoSpaceDE w:val="0"/>
              <w:spacing w:line="300" w:lineRule="atLeast"/>
            </w:pPr>
            <w:r w:rsidRPr="00F64EFA">
              <w:rPr>
                <w:sz w:val="22"/>
                <w:szCs w:val="22"/>
              </w:rPr>
              <w:t xml:space="preserve"> $20,000,000</w:t>
            </w:r>
          </w:p>
        </w:tc>
        <w:tc>
          <w:tcPr>
            <w:tcW w:w="0" w:type="auto"/>
          </w:tcPr>
          <w:p w14:paraId="52690FA3" w14:textId="77777777" w:rsidR="00D55B26" w:rsidRPr="00F64EFA" w:rsidRDefault="00D55B26" w:rsidP="00C24955">
            <w:pPr>
              <w:autoSpaceDE w:val="0"/>
              <w:spacing w:line="300" w:lineRule="atLeast"/>
              <w:jc w:val="center"/>
            </w:pPr>
            <w:r w:rsidRPr="00F64EFA">
              <w:rPr>
                <w:sz w:val="22"/>
                <w:szCs w:val="22"/>
              </w:rPr>
              <w:t>840</w:t>
            </w:r>
          </w:p>
        </w:tc>
        <w:tc>
          <w:tcPr>
            <w:tcW w:w="0" w:type="auto"/>
          </w:tcPr>
          <w:p w14:paraId="2389BAA8" w14:textId="77777777" w:rsidR="00D55B26" w:rsidRPr="00F64EFA" w:rsidRDefault="00D55B26" w:rsidP="00C24955">
            <w:pPr>
              <w:autoSpaceDE w:val="0"/>
              <w:spacing w:line="300" w:lineRule="atLeast"/>
              <w:jc w:val="center"/>
            </w:pPr>
            <w:r w:rsidRPr="00F64EFA">
              <w:rPr>
                <w:sz w:val="22"/>
                <w:szCs w:val="22"/>
              </w:rPr>
              <w:t>3.95</w:t>
            </w:r>
          </w:p>
        </w:tc>
        <w:tc>
          <w:tcPr>
            <w:tcW w:w="0" w:type="auto"/>
          </w:tcPr>
          <w:p w14:paraId="75CA7BB8" w14:textId="77777777" w:rsidR="00D55B26" w:rsidRPr="00F64EFA" w:rsidRDefault="00D55B26" w:rsidP="00C24955">
            <w:pPr>
              <w:autoSpaceDE w:val="0"/>
              <w:spacing w:line="300" w:lineRule="atLeast"/>
              <w:jc w:val="center"/>
            </w:pPr>
            <w:r w:rsidRPr="00F64EFA">
              <w:rPr>
                <w:sz w:val="22"/>
                <w:szCs w:val="22"/>
              </w:rPr>
              <w:t>2.81</w:t>
            </w:r>
          </w:p>
        </w:tc>
        <w:tc>
          <w:tcPr>
            <w:tcW w:w="0" w:type="auto"/>
          </w:tcPr>
          <w:p w14:paraId="73F946FD" w14:textId="77777777" w:rsidR="00D55B26" w:rsidRPr="00F64EFA" w:rsidRDefault="00D55B26" w:rsidP="00C24955">
            <w:pPr>
              <w:autoSpaceDE w:val="0"/>
              <w:spacing w:line="300" w:lineRule="atLeast"/>
              <w:jc w:val="center"/>
            </w:pPr>
          </w:p>
        </w:tc>
        <w:tc>
          <w:tcPr>
            <w:tcW w:w="0" w:type="auto"/>
          </w:tcPr>
          <w:p w14:paraId="3D254F92" w14:textId="77777777" w:rsidR="00D55B26" w:rsidRPr="00F64EFA" w:rsidRDefault="00D55B26" w:rsidP="00C24955">
            <w:pPr>
              <w:autoSpaceDE w:val="0"/>
              <w:spacing w:line="300" w:lineRule="atLeast"/>
              <w:jc w:val="center"/>
            </w:pPr>
            <w:r w:rsidRPr="00F64EFA">
              <w:rPr>
                <w:sz w:val="22"/>
                <w:szCs w:val="22"/>
              </w:rPr>
              <w:t>958</w:t>
            </w:r>
          </w:p>
        </w:tc>
        <w:tc>
          <w:tcPr>
            <w:tcW w:w="0" w:type="auto"/>
          </w:tcPr>
          <w:p w14:paraId="5B6A7106" w14:textId="77777777" w:rsidR="00D55B26" w:rsidRPr="00F64EFA" w:rsidRDefault="00D55B26" w:rsidP="00C24955">
            <w:pPr>
              <w:autoSpaceDE w:val="0"/>
              <w:spacing w:line="300" w:lineRule="atLeast"/>
              <w:jc w:val="center"/>
            </w:pPr>
            <w:r w:rsidRPr="00F64EFA">
              <w:rPr>
                <w:sz w:val="22"/>
                <w:szCs w:val="22"/>
              </w:rPr>
              <w:t>4.03</w:t>
            </w:r>
          </w:p>
        </w:tc>
        <w:tc>
          <w:tcPr>
            <w:tcW w:w="0" w:type="auto"/>
          </w:tcPr>
          <w:p w14:paraId="1D7EDCFB" w14:textId="77777777" w:rsidR="00D55B26" w:rsidRPr="00F64EFA" w:rsidRDefault="00D55B26" w:rsidP="00C24955">
            <w:pPr>
              <w:autoSpaceDE w:val="0"/>
              <w:spacing w:line="300" w:lineRule="atLeast"/>
              <w:jc w:val="center"/>
            </w:pPr>
            <w:r w:rsidRPr="00F64EFA">
              <w:rPr>
                <w:sz w:val="22"/>
                <w:szCs w:val="22"/>
              </w:rPr>
              <w:t>2.85</w:t>
            </w:r>
          </w:p>
        </w:tc>
      </w:tr>
      <w:tr w:rsidR="00D55B26" w:rsidRPr="00C16329" w14:paraId="016D3243" w14:textId="77777777" w:rsidTr="00C24955">
        <w:tc>
          <w:tcPr>
            <w:tcW w:w="0" w:type="auto"/>
          </w:tcPr>
          <w:p w14:paraId="6C115182" w14:textId="77777777" w:rsidR="00D55B26" w:rsidRPr="00F64EFA" w:rsidRDefault="00D55B26" w:rsidP="00C24955">
            <w:pPr>
              <w:autoSpaceDE w:val="0"/>
              <w:spacing w:line="300" w:lineRule="atLeast"/>
            </w:pPr>
          </w:p>
        </w:tc>
        <w:tc>
          <w:tcPr>
            <w:tcW w:w="0" w:type="auto"/>
          </w:tcPr>
          <w:p w14:paraId="6F70DFE2" w14:textId="77777777" w:rsidR="00D55B26" w:rsidRPr="00F64EFA" w:rsidRDefault="00D55B26" w:rsidP="00C24955">
            <w:pPr>
              <w:autoSpaceDE w:val="0"/>
              <w:spacing w:line="300" w:lineRule="atLeast"/>
              <w:jc w:val="center"/>
            </w:pPr>
          </w:p>
        </w:tc>
        <w:tc>
          <w:tcPr>
            <w:tcW w:w="0" w:type="auto"/>
          </w:tcPr>
          <w:p w14:paraId="5849E473" w14:textId="77777777" w:rsidR="00D55B26" w:rsidRPr="00F64EFA" w:rsidRDefault="00D55B26" w:rsidP="00C24955">
            <w:pPr>
              <w:autoSpaceDE w:val="0"/>
              <w:spacing w:line="300" w:lineRule="atLeast"/>
              <w:jc w:val="center"/>
            </w:pPr>
          </w:p>
        </w:tc>
        <w:tc>
          <w:tcPr>
            <w:tcW w:w="0" w:type="auto"/>
          </w:tcPr>
          <w:p w14:paraId="25CDF9A7" w14:textId="77777777" w:rsidR="00D55B26" w:rsidRPr="00F64EFA" w:rsidRDefault="00D55B26" w:rsidP="00C24955">
            <w:pPr>
              <w:autoSpaceDE w:val="0"/>
              <w:spacing w:line="300" w:lineRule="atLeast"/>
              <w:jc w:val="center"/>
            </w:pPr>
          </w:p>
        </w:tc>
        <w:tc>
          <w:tcPr>
            <w:tcW w:w="0" w:type="auto"/>
          </w:tcPr>
          <w:p w14:paraId="69EF4864" w14:textId="77777777" w:rsidR="00D55B26" w:rsidRPr="00F64EFA" w:rsidRDefault="00D55B26" w:rsidP="00C24955">
            <w:pPr>
              <w:autoSpaceDE w:val="0"/>
              <w:spacing w:line="300" w:lineRule="atLeast"/>
              <w:jc w:val="center"/>
            </w:pPr>
          </w:p>
        </w:tc>
        <w:tc>
          <w:tcPr>
            <w:tcW w:w="0" w:type="auto"/>
          </w:tcPr>
          <w:p w14:paraId="1BB92488" w14:textId="77777777" w:rsidR="00D55B26" w:rsidRPr="00F64EFA" w:rsidRDefault="00D55B26" w:rsidP="00C24955">
            <w:pPr>
              <w:autoSpaceDE w:val="0"/>
              <w:spacing w:line="300" w:lineRule="atLeast"/>
              <w:jc w:val="center"/>
            </w:pPr>
          </w:p>
        </w:tc>
        <w:tc>
          <w:tcPr>
            <w:tcW w:w="0" w:type="auto"/>
          </w:tcPr>
          <w:p w14:paraId="28BB4714" w14:textId="77777777" w:rsidR="00D55B26" w:rsidRPr="00F64EFA" w:rsidRDefault="00D55B26" w:rsidP="00C24955">
            <w:pPr>
              <w:autoSpaceDE w:val="0"/>
              <w:spacing w:line="300" w:lineRule="atLeast"/>
              <w:jc w:val="center"/>
            </w:pPr>
          </w:p>
        </w:tc>
        <w:tc>
          <w:tcPr>
            <w:tcW w:w="0" w:type="auto"/>
          </w:tcPr>
          <w:p w14:paraId="33A2A3A8" w14:textId="77777777" w:rsidR="00D55B26" w:rsidRPr="00F64EFA" w:rsidRDefault="00D55B26" w:rsidP="00C24955">
            <w:pPr>
              <w:autoSpaceDE w:val="0"/>
              <w:spacing w:line="300" w:lineRule="atLeast"/>
              <w:jc w:val="center"/>
            </w:pPr>
          </w:p>
        </w:tc>
      </w:tr>
      <w:tr w:rsidR="00D55B26" w:rsidRPr="00C16329" w14:paraId="4D58FC81" w14:textId="77777777" w:rsidTr="00C24955">
        <w:tc>
          <w:tcPr>
            <w:tcW w:w="0" w:type="auto"/>
          </w:tcPr>
          <w:p w14:paraId="552DD9BA" w14:textId="61348A9A" w:rsidR="00D55B26" w:rsidRPr="007A065A" w:rsidRDefault="00D55B26" w:rsidP="007A065A">
            <w:pPr>
              <w:autoSpaceDE w:val="0"/>
              <w:spacing w:line="300" w:lineRule="atLeast"/>
              <w:rPr>
                <w:vertAlign w:val="superscript"/>
              </w:rPr>
            </w:pPr>
            <w:r w:rsidRPr="007A065A">
              <w:rPr>
                <w:b/>
                <w:sz w:val="22"/>
                <w:szCs w:val="22"/>
              </w:rPr>
              <w:t>Candidate Party</w:t>
            </w:r>
            <w:r w:rsidR="000801F8" w:rsidRPr="007A065A">
              <w:rPr>
                <w:sz w:val="22"/>
                <w:szCs w:val="22"/>
                <w:vertAlign w:val="superscript"/>
              </w:rPr>
              <w:t>3</w:t>
            </w:r>
          </w:p>
        </w:tc>
        <w:tc>
          <w:tcPr>
            <w:tcW w:w="0" w:type="auto"/>
          </w:tcPr>
          <w:p w14:paraId="5B06A6E9" w14:textId="77777777" w:rsidR="00D55B26" w:rsidRPr="00F64EFA" w:rsidRDefault="00D55B26" w:rsidP="00C24955">
            <w:pPr>
              <w:autoSpaceDE w:val="0"/>
              <w:spacing w:line="300" w:lineRule="atLeast"/>
              <w:jc w:val="center"/>
            </w:pPr>
          </w:p>
        </w:tc>
        <w:tc>
          <w:tcPr>
            <w:tcW w:w="0" w:type="auto"/>
          </w:tcPr>
          <w:p w14:paraId="293E24FE" w14:textId="77777777" w:rsidR="00D55B26" w:rsidRPr="00F64EFA" w:rsidRDefault="00D55B26" w:rsidP="00C24955">
            <w:pPr>
              <w:autoSpaceDE w:val="0"/>
              <w:spacing w:line="300" w:lineRule="atLeast"/>
              <w:jc w:val="center"/>
            </w:pPr>
          </w:p>
        </w:tc>
        <w:tc>
          <w:tcPr>
            <w:tcW w:w="0" w:type="auto"/>
          </w:tcPr>
          <w:p w14:paraId="501DF0C6" w14:textId="77777777" w:rsidR="00D55B26" w:rsidRPr="00F64EFA" w:rsidRDefault="00D55B26" w:rsidP="00C24955">
            <w:pPr>
              <w:autoSpaceDE w:val="0"/>
              <w:spacing w:line="300" w:lineRule="atLeast"/>
              <w:jc w:val="center"/>
            </w:pPr>
          </w:p>
        </w:tc>
        <w:tc>
          <w:tcPr>
            <w:tcW w:w="0" w:type="auto"/>
          </w:tcPr>
          <w:p w14:paraId="27AAC73B" w14:textId="77777777" w:rsidR="00D55B26" w:rsidRPr="00F64EFA" w:rsidRDefault="00D55B26" w:rsidP="00C24955">
            <w:pPr>
              <w:autoSpaceDE w:val="0"/>
              <w:spacing w:line="300" w:lineRule="atLeast"/>
              <w:jc w:val="center"/>
            </w:pPr>
          </w:p>
        </w:tc>
        <w:tc>
          <w:tcPr>
            <w:tcW w:w="0" w:type="auto"/>
          </w:tcPr>
          <w:p w14:paraId="5DA9DA1B" w14:textId="77777777" w:rsidR="00D55B26" w:rsidRPr="00F64EFA" w:rsidRDefault="00D55B26" w:rsidP="00C24955">
            <w:pPr>
              <w:autoSpaceDE w:val="0"/>
              <w:spacing w:line="300" w:lineRule="atLeast"/>
              <w:jc w:val="center"/>
            </w:pPr>
          </w:p>
        </w:tc>
        <w:tc>
          <w:tcPr>
            <w:tcW w:w="0" w:type="auto"/>
          </w:tcPr>
          <w:p w14:paraId="58211613" w14:textId="77777777" w:rsidR="00D55B26" w:rsidRPr="00F64EFA" w:rsidRDefault="00D55B26" w:rsidP="00C24955">
            <w:pPr>
              <w:autoSpaceDE w:val="0"/>
              <w:spacing w:line="300" w:lineRule="atLeast"/>
              <w:jc w:val="center"/>
            </w:pPr>
          </w:p>
        </w:tc>
        <w:tc>
          <w:tcPr>
            <w:tcW w:w="0" w:type="auto"/>
          </w:tcPr>
          <w:p w14:paraId="0858AFB2" w14:textId="77777777" w:rsidR="00D55B26" w:rsidRPr="00F64EFA" w:rsidRDefault="00D55B26" w:rsidP="00C24955">
            <w:pPr>
              <w:autoSpaceDE w:val="0"/>
              <w:spacing w:line="300" w:lineRule="atLeast"/>
              <w:jc w:val="center"/>
            </w:pPr>
          </w:p>
        </w:tc>
      </w:tr>
      <w:tr w:rsidR="00D55B26" w:rsidRPr="00C16329" w14:paraId="16C944AF" w14:textId="77777777" w:rsidTr="00C24955">
        <w:tc>
          <w:tcPr>
            <w:tcW w:w="0" w:type="auto"/>
          </w:tcPr>
          <w:p w14:paraId="69DBCD95" w14:textId="77777777" w:rsidR="00D55B26" w:rsidRPr="00F64EFA" w:rsidRDefault="00D55B26" w:rsidP="00C24955">
            <w:pPr>
              <w:autoSpaceDE w:val="0"/>
              <w:spacing w:line="300" w:lineRule="atLeast"/>
            </w:pPr>
            <w:r w:rsidRPr="00F64EFA">
              <w:rPr>
                <w:sz w:val="22"/>
                <w:szCs w:val="22"/>
              </w:rPr>
              <w:t xml:space="preserve">  Republican</w:t>
            </w:r>
          </w:p>
        </w:tc>
        <w:tc>
          <w:tcPr>
            <w:tcW w:w="0" w:type="auto"/>
          </w:tcPr>
          <w:p w14:paraId="306ABC79" w14:textId="77777777" w:rsidR="00D55B26" w:rsidRPr="00F64EFA" w:rsidRDefault="00D55B26" w:rsidP="00C24955">
            <w:pPr>
              <w:autoSpaceDE w:val="0"/>
              <w:spacing w:line="300" w:lineRule="atLeast"/>
              <w:jc w:val="center"/>
            </w:pPr>
            <w:r w:rsidRPr="00F64EFA">
              <w:rPr>
                <w:sz w:val="22"/>
                <w:szCs w:val="22"/>
              </w:rPr>
              <w:t>563</w:t>
            </w:r>
          </w:p>
        </w:tc>
        <w:tc>
          <w:tcPr>
            <w:tcW w:w="0" w:type="auto"/>
          </w:tcPr>
          <w:p w14:paraId="09CD44A7" w14:textId="77777777" w:rsidR="00D55B26" w:rsidRPr="00F64EFA" w:rsidRDefault="00D55B26" w:rsidP="00C24955">
            <w:pPr>
              <w:autoSpaceDE w:val="0"/>
              <w:spacing w:line="300" w:lineRule="atLeast"/>
              <w:jc w:val="center"/>
            </w:pPr>
            <w:r w:rsidRPr="00F64EFA">
              <w:rPr>
                <w:sz w:val="22"/>
                <w:szCs w:val="22"/>
              </w:rPr>
              <w:t>4.27</w:t>
            </w:r>
          </w:p>
        </w:tc>
        <w:tc>
          <w:tcPr>
            <w:tcW w:w="0" w:type="auto"/>
          </w:tcPr>
          <w:p w14:paraId="22CF7437" w14:textId="77777777" w:rsidR="00D55B26" w:rsidRPr="00F64EFA" w:rsidRDefault="00D55B26" w:rsidP="00C24955">
            <w:pPr>
              <w:autoSpaceDE w:val="0"/>
              <w:spacing w:line="300" w:lineRule="atLeast"/>
              <w:jc w:val="center"/>
            </w:pPr>
            <w:r w:rsidRPr="00F64EFA">
              <w:rPr>
                <w:sz w:val="22"/>
                <w:szCs w:val="22"/>
              </w:rPr>
              <w:t>3.00</w:t>
            </w:r>
          </w:p>
        </w:tc>
        <w:tc>
          <w:tcPr>
            <w:tcW w:w="0" w:type="auto"/>
          </w:tcPr>
          <w:p w14:paraId="0BAA28A4" w14:textId="77777777" w:rsidR="00D55B26" w:rsidRPr="00F64EFA" w:rsidRDefault="00D55B26" w:rsidP="00C24955">
            <w:pPr>
              <w:autoSpaceDE w:val="0"/>
              <w:spacing w:line="300" w:lineRule="atLeast"/>
              <w:jc w:val="center"/>
            </w:pPr>
          </w:p>
        </w:tc>
        <w:tc>
          <w:tcPr>
            <w:tcW w:w="0" w:type="auto"/>
          </w:tcPr>
          <w:p w14:paraId="19E5DA12" w14:textId="77777777" w:rsidR="00D55B26" w:rsidRPr="00F64EFA" w:rsidRDefault="00D55B26" w:rsidP="00C24955">
            <w:pPr>
              <w:autoSpaceDE w:val="0"/>
              <w:spacing w:line="300" w:lineRule="atLeast"/>
              <w:jc w:val="center"/>
            </w:pPr>
            <w:r w:rsidRPr="00F64EFA">
              <w:rPr>
                <w:sz w:val="22"/>
                <w:szCs w:val="22"/>
              </w:rPr>
              <w:t>658</w:t>
            </w:r>
          </w:p>
        </w:tc>
        <w:tc>
          <w:tcPr>
            <w:tcW w:w="0" w:type="auto"/>
          </w:tcPr>
          <w:p w14:paraId="21EBAAC0" w14:textId="77777777" w:rsidR="00D55B26" w:rsidRPr="00F64EFA" w:rsidRDefault="00D55B26" w:rsidP="00C24955">
            <w:pPr>
              <w:autoSpaceDE w:val="0"/>
              <w:spacing w:line="300" w:lineRule="atLeast"/>
              <w:jc w:val="center"/>
            </w:pPr>
            <w:r w:rsidRPr="00F64EFA">
              <w:rPr>
                <w:sz w:val="22"/>
                <w:szCs w:val="22"/>
              </w:rPr>
              <w:t>4.09</w:t>
            </w:r>
          </w:p>
        </w:tc>
        <w:tc>
          <w:tcPr>
            <w:tcW w:w="0" w:type="auto"/>
          </w:tcPr>
          <w:p w14:paraId="690242CB" w14:textId="77777777" w:rsidR="00D55B26" w:rsidRPr="00F64EFA" w:rsidRDefault="00D55B26" w:rsidP="00C24955">
            <w:pPr>
              <w:autoSpaceDE w:val="0"/>
              <w:spacing w:line="300" w:lineRule="atLeast"/>
              <w:jc w:val="center"/>
            </w:pPr>
            <w:r w:rsidRPr="00F64EFA">
              <w:rPr>
                <w:sz w:val="22"/>
                <w:szCs w:val="22"/>
              </w:rPr>
              <w:t>2.90</w:t>
            </w:r>
          </w:p>
        </w:tc>
      </w:tr>
      <w:tr w:rsidR="00D55B26" w:rsidRPr="00C16329" w14:paraId="2477C13F" w14:textId="77777777" w:rsidTr="00C24955">
        <w:tc>
          <w:tcPr>
            <w:tcW w:w="0" w:type="auto"/>
          </w:tcPr>
          <w:p w14:paraId="425CA65F" w14:textId="77777777" w:rsidR="00D55B26" w:rsidRPr="00F64EFA" w:rsidRDefault="00D55B26" w:rsidP="00C24955">
            <w:pPr>
              <w:autoSpaceDE w:val="0"/>
              <w:spacing w:line="300" w:lineRule="atLeast"/>
            </w:pPr>
            <w:r w:rsidRPr="00F64EFA">
              <w:rPr>
                <w:sz w:val="22"/>
                <w:szCs w:val="22"/>
              </w:rPr>
              <w:t xml:space="preserve">  Democrat</w:t>
            </w:r>
          </w:p>
        </w:tc>
        <w:tc>
          <w:tcPr>
            <w:tcW w:w="0" w:type="auto"/>
          </w:tcPr>
          <w:p w14:paraId="77675836" w14:textId="77777777" w:rsidR="00D55B26" w:rsidRPr="00F64EFA" w:rsidRDefault="00D55B26" w:rsidP="00C24955">
            <w:pPr>
              <w:autoSpaceDE w:val="0"/>
              <w:spacing w:line="300" w:lineRule="atLeast"/>
              <w:jc w:val="center"/>
            </w:pPr>
            <w:r w:rsidRPr="00F64EFA">
              <w:rPr>
                <w:sz w:val="22"/>
                <w:szCs w:val="22"/>
              </w:rPr>
              <w:t>537</w:t>
            </w:r>
          </w:p>
        </w:tc>
        <w:tc>
          <w:tcPr>
            <w:tcW w:w="0" w:type="auto"/>
          </w:tcPr>
          <w:p w14:paraId="52AFF751" w14:textId="77777777" w:rsidR="00D55B26" w:rsidRPr="00F64EFA" w:rsidRDefault="00D55B26" w:rsidP="00C24955">
            <w:pPr>
              <w:autoSpaceDE w:val="0"/>
              <w:spacing w:line="300" w:lineRule="atLeast"/>
              <w:jc w:val="center"/>
            </w:pPr>
            <w:r w:rsidRPr="00F64EFA">
              <w:rPr>
                <w:sz w:val="22"/>
                <w:szCs w:val="22"/>
              </w:rPr>
              <w:t>3.58</w:t>
            </w:r>
          </w:p>
        </w:tc>
        <w:tc>
          <w:tcPr>
            <w:tcW w:w="0" w:type="auto"/>
          </w:tcPr>
          <w:p w14:paraId="43AFC740" w14:textId="77777777" w:rsidR="00D55B26" w:rsidRPr="00F64EFA" w:rsidRDefault="00D55B26" w:rsidP="00C24955">
            <w:pPr>
              <w:autoSpaceDE w:val="0"/>
              <w:spacing w:line="300" w:lineRule="atLeast"/>
              <w:jc w:val="center"/>
            </w:pPr>
            <w:r w:rsidRPr="00F64EFA">
              <w:rPr>
                <w:sz w:val="22"/>
                <w:szCs w:val="22"/>
              </w:rPr>
              <w:t>2.60</w:t>
            </w:r>
          </w:p>
        </w:tc>
        <w:tc>
          <w:tcPr>
            <w:tcW w:w="0" w:type="auto"/>
          </w:tcPr>
          <w:p w14:paraId="497BC082" w14:textId="77777777" w:rsidR="00D55B26" w:rsidRPr="00F64EFA" w:rsidRDefault="00D55B26" w:rsidP="00C24955">
            <w:pPr>
              <w:autoSpaceDE w:val="0"/>
              <w:spacing w:line="300" w:lineRule="atLeast"/>
              <w:jc w:val="center"/>
            </w:pPr>
          </w:p>
        </w:tc>
        <w:tc>
          <w:tcPr>
            <w:tcW w:w="0" w:type="auto"/>
          </w:tcPr>
          <w:p w14:paraId="2B952866" w14:textId="77777777" w:rsidR="00D55B26" w:rsidRPr="00F64EFA" w:rsidRDefault="00D55B26" w:rsidP="00C24955">
            <w:pPr>
              <w:autoSpaceDE w:val="0"/>
              <w:spacing w:line="300" w:lineRule="atLeast"/>
              <w:jc w:val="center"/>
            </w:pPr>
            <w:r w:rsidRPr="00F64EFA">
              <w:rPr>
                <w:sz w:val="22"/>
                <w:szCs w:val="22"/>
              </w:rPr>
              <w:t>669</w:t>
            </w:r>
          </w:p>
        </w:tc>
        <w:tc>
          <w:tcPr>
            <w:tcW w:w="0" w:type="auto"/>
          </w:tcPr>
          <w:p w14:paraId="143B9D7C" w14:textId="77777777" w:rsidR="00D55B26" w:rsidRPr="00F64EFA" w:rsidRDefault="00D55B26" w:rsidP="00C24955">
            <w:pPr>
              <w:autoSpaceDE w:val="0"/>
              <w:spacing w:line="300" w:lineRule="atLeast"/>
              <w:jc w:val="center"/>
            </w:pPr>
            <w:r w:rsidRPr="00F64EFA">
              <w:rPr>
                <w:sz w:val="22"/>
                <w:szCs w:val="22"/>
              </w:rPr>
              <w:t>3.96</w:t>
            </w:r>
          </w:p>
        </w:tc>
        <w:tc>
          <w:tcPr>
            <w:tcW w:w="0" w:type="auto"/>
          </w:tcPr>
          <w:p w14:paraId="4E155C03" w14:textId="77777777" w:rsidR="00D55B26" w:rsidRPr="00F64EFA" w:rsidRDefault="00D55B26" w:rsidP="00C24955">
            <w:pPr>
              <w:autoSpaceDE w:val="0"/>
              <w:spacing w:line="300" w:lineRule="atLeast"/>
              <w:jc w:val="center"/>
            </w:pPr>
            <w:r w:rsidRPr="00F64EFA">
              <w:rPr>
                <w:sz w:val="22"/>
                <w:szCs w:val="22"/>
              </w:rPr>
              <w:t>2.90</w:t>
            </w:r>
          </w:p>
        </w:tc>
      </w:tr>
      <w:tr w:rsidR="00D55B26" w:rsidRPr="00C16329" w14:paraId="416899A8" w14:textId="77777777" w:rsidTr="00C24955">
        <w:tc>
          <w:tcPr>
            <w:tcW w:w="0" w:type="auto"/>
          </w:tcPr>
          <w:p w14:paraId="213D65C8" w14:textId="77777777" w:rsidR="00D55B26" w:rsidRPr="00F64EFA" w:rsidRDefault="00D55B26" w:rsidP="00C24955">
            <w:pPr>
              <w:autoSpaceDE w:val="0"/>
              <w:spacing w:line="300" w:lineRule="atLeast"/>
            </w:pPr>
            <w:r w:rsidRPr="00F64EFA">
              <w:rPr>
                <w:sz w:val="22"/>
                <w:szCs w:val="22"/>
              </w:rPr>
              <w:t xml:space="preserve">  Independent</w:t>
            </w:r>
          </w:p>
        </w:tc>
        <w:tc>
          <w:tcPr>
            <w:tcW w:w="0" w:type="auto"/>
          </w:tcPr>
          <w:p w14:paraId="4B765F9B" w14:textId="77777777" w:rsidR="00D55B26" w:rsidRPr="00F64EFA" w:rsidRDefault="00D55B26" w:rsidP="00C24955">
            <w:pPr>
              <w:autoSpaceDE w:val="0"/>
              <w:spacing w:line="300" w:lineRule="atLeast"/>
              <w:jc w:val="center"/>
            </w:pPr>
            <w:r w:rsidRPr="00F64EFA">
              <w:rPr>
                <w:sz w:val="22"/>
                <w:szCs w:val="22"/>
              </w:rPr>
              <w:t>506</w:t>
            </w:r>
          </w:p>
        </w:tc>
        <w:tc>
          <w:tcPr>
            <w:tcW w:w="0" w:type="auto"/>
          </w:tcPr>
          <w:p w14:paraId="173E8EC2" w14:textId="77777777" w:rsidR="00D55B26" w:rsidRPr="00F64EFA" w:rsidRDefault="00D55B26" w:rsidP="00C24955">
            <w:pPr>
              <w:autoSpaceDE w:val="0"/>
              <w:spacing w:line="300" w:lineRule="atLeast"/>
              <w:jc w:val="center"/>
            </w:pPr>
            <w:r w:rsidRPr="00F64EFA">
              <w:rPr>
                <w:sz w:val="22"/>
                <w:szCs w:val="22"/>
              </w:rPr>
              <w:t>3.99</w:t>
            </w:r>
          </w:p>
        </w:tc>
        <w:tc>
          <w:tcPr>
            <w:tcW w:w="0" w:type="auto"/>
          </w:tcPr>
          <w:p w14:paraId="55F76CF6" w14:textId="77777777" w:rsidR="00D55B26" w:rsidRPr="00F64EFA" w:rsidRDefault="00D55B26" w:rsidP="00C24955">
            <w:pPr>
              <w:autoSpaceDE w:val="0"/>
              <w:spacing w:line="300" w:lineRule="atLeast"/>
              <w:jc w:val="center"/>
            </w:pPr>
            <w:r w:rsidRPr="00F64EFA">
              <w:rPr>
                <w:sz w:val="22"/>
                <w:szCs w:val="22"/>
              </w:rPr>
              <w:t>2.56</w:t>
            </w:r>
          </w:p>
        </w:tc>
        <w:tc>
          <w:tcPr>
            <w:tcW w:w="0" w:type="auto"/>
          </w:tcPr>
          <w:p w14:paraId="101BF3F5" w14:textId="77777777" w:rsidR="00D55B26" w:rsidRPr="00F64EFA" w:rsidRDefault="00D55B26" w:rsidP="00C24955">
            <w:pPr>
              <w:autoSpaceDE w:val="0"/>
              <w:spacing w:line="300" w:lineRule="atLeast"/>
              <w:jc w:val="center"/>
            </w:pPr>
          </w:p>
        </w:tc>
        <w:tc>
          <w:tcPr>
            <w:tcW w:w="0" w:type="auto"/>
          </w:tcPr>
          <w:p w14:paraId="1B6AC8A3" w14:textId="77777777" w:rsidR="00D55B26" w:rsidRPr="00F64EFA" w:rsidRDefault="00D55B26" w:rsidP="00C24955">
            <w:pPr>
              <w:autoSpaceDE w:val="0"/>
              <w:spacing w:line="300" w:lineRule="atLeast"/>
              <w:jc w:val="center"/>
            </w:pPr>
            <w:r w:rsidRPr="00F64EFA">
              <w:rPr>
                <w:sz w:val="22"/>
                <w:szCs w:val="22"/>
              </w:rPr>
              <w:t>636</w:t>
            </w:r>
          </w:p>
        </w:tc>
        <w:tc>
          <w:tcPr>
            <w:tcW w:w="0" w:type="auto"/>
          </w:tcPr>
          <w:p w14:paraId="6A9FC564" w14:textId="77777777" w:rsidR="00D55B26" w:rsidRPr="00F64EFA" w:rsidRDefault="00D55B26" w:rsidP="00C24955">
            <w:pPr>
              <w:autoSpaceDE w:val="0"/>
              <w:spacing w:line="300" w:lineRule="atLeast"/>
              <w:jc w:val="center"/>
            </w:pPr>
            <w:r w:rsidRPr="00F64EFA">
              <w:rPr>
                <w:sz w:val="22"/>
                <w:szCs w:val="22"/>
              </w:rPr>
              <w:t>4.29</w:t>
            </w:r>
          </w:p>
        </w:tc>
        <w:tc>
          <w:tcPr>
            <w:tcW w:w="0" w:type="auto"/>
          </w:tcPr>
          <w:p w14:paraId="0E6485AB" w14:textId="77777777" w:rsidR="00D55B26" w:rsidRPr="00F64EFA" w:rsidRDefault="00D55B26" w:rsidP="00C24955">
            <w:pPr>
              <w:autoSpaceDE w:val="0"/>
              <w:spacing w:line="300" w:lineRule="atLeast"/>
              <w:jc w:val="center"/>
            </w:pPr>
            <w:r w:rsidRPr="00F64EFA">
              <w:rPr>
                <w:sz w:val="22"/>
                <w:szCs w:val="22"/>
              </w:rPr>
              <w:t>2.57</w:t>
            </w:r>
          </w:p>
        </w:tc>
      </w:tr>
      <w:tr w:rsidR="00D55B26" w:rsidRPr="00C16329" w14:paraId="62E9EDF9" w14:textId="77777777" w:rsidTr="00C24955">
        <w:trPr>
          <w:trHeight w:val="55"/>
        </w:trPr>
        <w:tc>
          <w:tcPr>
            <w:tcW w:w="0" w:type="auto"/>
          </w:tcPr>
          <w:p w14:paraId="64DBA622" w14:textId="77777777" w:rsidR="00D55B26" w:rsidRPr="00F64EFA" w:rsidRDefault="00D55B26" w:rsidP="00C24955">
            <w:pPr>
              <w:autoSpaceDE w:val="0"/>
              <w:spacing w:line="300" w:lineRule="atLeast"/>
              <w:rPr>
                <w:b/>
              </w:rPr>
            </w:pPr>
            <w:r w:rsidRPr="00F64EFA">
              <w:rPr>
                <w:b/>
                <w:sz w:val="22"/>
                <w:szCs w:val="22"/>
              </w:rPr>
              <w:t>TOTAL</w:t>
            </w:r>
          </w:p>
        </w:tc>
        <w:tc>
          <w:tcPr>
            <w:tcW w:w="0" w:type="auto"/>
          </w:tcPr>
          <w:p w14:paraId="598159F7" w14:textId="77777777" w:rsidR="00D55B26" w:rsidRPr="00F64EFA" w:rsidRDefault="00D55B26" w:rsidP="00C24955">
            <w:pPr>
              <w:autoSpaceDE w:val="0"/>
              <w:spacing w:line="300" w:lineRule="atLeast"/>
              <w:jc w:val="center"/>
              <w:rPr>
                <w:b/>
              </w:rPr>
            </w:pPr>
            <w:r w:rsidRPr="00F64EFA">
              <w:rPr>
                <w:b/>
                <w:sz w:val="22"/>
                <w:szCs w:val="22"/>
              </w:rPr>
              <w:t>1,606</w:t>
            </w:r>
          </w:p>
        </w:tc>
        <w:tc>
          <w:tcPr>
            <w:tcW w:w="0" w:type="auto"/>
          </w:tcPr>
          <w:p w14:paraId="52653CFC" w14:textId="77777777" w:rsidR="00D55B26" w:rsidRPr="00F64EFA" w:rsidRDefault="00D55B26" w:rsidP="00C24955">
            <w:pPr>
              <w:autoSpaceDE w:val="0"/>
              <w:spacing w:line="300" w:lineRule="atLeast"/>
              <w:jc w:val="center"/>
              <w:rPr>
                <w:b/>
              </w:rPr>
            </w:pPr>
            <w:r w:rsidRPr="00F64EFA">
              <w:rPr>
                <w:b/>
                <w:sz w:val="22"/>
                <w:szCs w:val="22"/>
              </w:rPr>
              <w:t>3.95</w:t>
            </w:r>
          </w:p>
        </w:tc>
        <w:tc>
          <w:tcPr>
            <w:tcW w:w="0" w:type="auto"/>
          </w:tcPr>
          <w:p w14:paraId="10E16ABD" w14:textId="77777777" w:rsidR="00D55B26" w:rsidRPr="00F64EFA" w:rsidRDefault="00D55B26" w:rsidP="00C24955">
            <w:pPr>
              <w:autoSpaceDE w:val="0"/>
              <w:spacing w:line="300" w:lineRule="atLeast"/>
              <w:jc w:val="center"/>
              <w:rPr>
                <w:b/>
              </w:rPr>
            </w:pPr>
            <w:r w:rsidRPr="00F64EFA">
              <w:rPr>
                <w:b/>
                <w:sz w:val="22"/>
                <w:szCs w:val="22"/>
              </w:rPr>
              <w:t>2.75</w:t>
            </w:r>
          </w:p>
        </w:tc>
        <w:tc>
          <w:tcPr>
            <w:tcW w:w="0" w:type="auto"/>
          </w:tcPr>
          <w:p w14:paraId="32C88A4F" w14:textId="77777777" w:rsidR="00D55B26" w:rsidRPr="00F64EFA" w:rsidRDefault="00D55B26" w:rsidP="00C24955">
            <w:pPr>
              <w:autoSpaceDE w:val="0"/>
              <w:spacing w:line="300" w:lineRule="atLeast"/>
              <w:jc w:val="center"/>
              <w:rPr>
                <w:b/>
              </w:rPr>
            </w:pPr>
          </w:p>
        </w:tc>
        <w:tc>
          <w:tcPr>
            <w:tcW w:w="0" w:type="auto"/>
          </w:tcPr>
          <w:p w14:paraId="526ED4A3" w14:textId="77777777" w:rsidR="00D55B26" w:rsidRPr="00F64EFA" w:rsidRDefault="00D55B26" w:rsidP="00C24955">
            <w:pPr>
              <w:autoSpaceDE w:val="0"/>
              <w:spacing w:line="300" w:lineRule="atLeast"/>
              <w:jc w:val="center"/>
              <w:rPr>
                <w:b/>
              </w:rPr>
            </w:pPr>
            <w:r w:rsidRPr="00F64EFA">
              <w:rPr>
                <w:b/>
                <w:sz w:val="22"/>
                <w:szCs w:val="22"/>
              </w:rPr>
              <w:t>1963</w:t>
            </w:r>
          </w:p>
        </w:tc>
        <w:tc>
          <w:tcPr>
            <w:tcW w:w="0" w:type="auto"/>
          </w:tcPr>
          <w:p w14:paraId="00E04630" w14:textId="77777777" w:rsidR="00D55B26" w:rsidRPr="00F64EFA" w:rsidRDefault="00D55B26" w:rsidP="00C24955">
            <w:pPr>
              <w:autoSpaceDE w:val="0"/>
              <w:spacing w:line="300" w:lineRule="atLeast"/>
              <w:jc w:val="center"/>
              <w:rPr>
                <w:b/>
              </w:rPr>
            </w:pPr>
            <w:r w:rsidRPr="00F64EFA">
              <w:rPr>
                <w:b/>
                <w:sz w:val="22"/>
                <w:szCs w:val="22"/>
              </w:rPr>
              <w:t>4.11</w:t>
            </w:r>
          </w:p>
        </w:tc>
        <w:tc>
          <w:tcPr>
            <w:tcW w:w="0" w:type="auto"/>
          </w:tcPr>
          <w:p w14:paraId="36F1522A" w14:textId="77777777" w:rsidR="00D55B26" w:rsidRPr="00F64EFA" w:rsidRDefault="00D55B26" w:rsidP="00C24955">
            <w:pPr>
              <w:autoSpaceDE w:val="0"/>
              <w:spacing w:line="300" w:lineRule="atLeast"/>
              <w:jc w:val="center"/>
              <w:rPr>
                <w:b/>
              </w:rPr>
            </w:pPr>
            <w:r w:rsidRPr="00F64EFA">
              <w:rPr>
                <w:b/>
                <w:sz w:val="22"/>
                <w:szCs w:val="22"/>
              </w:rPr>
              <w:t>2.795</w:t>
            </w:r>
          </w:p>
        </w:tc>
      </w:tr>
    </w:tbl>
    <w:p w14:paraId="1EF6D0C8" w14:textId="314D8045" w:rsidR="00AE00CE" w:rsidRPr="008B6040" w:rsidRDefault="00517362" w:rsidP="000613BE">
      <w:pPr>
        <w:pStyle w:val="ListParagraph"/>
        <w:numPr>
          <w:ilvl w:val="0"/>
          <w:numId w:val="7"/>
        </w:numPr>
        <w:autoSpaceDE w:val="0"/>
        <w:spacing w:line="300" w:lineRule="atLeast"/>
      </w:pPr>
      <w:r w:rsidRPr="008B6040">
        <w:t xml:space="preserve">In 2009, the differences in the likelihood of voting for Jones between the friends and acquaintances condition and the other two </w:t>
      </w:r>
      <w:r w:rsidR="000613BE" w:rsidRPr="008B6040">
        <w:t xml:space="preserve">conditions </w:t>
      </w:r>
      <w:r w:rsidRPr="008B6040">
        <w:t>are statistically significant at p&lt; 0.05. In 2013, the differences between the oil industry condition and the other conditions are also statistically significant (p&lt;0.01)</w:t>
      </w:r>
      <w:r w:rsidR="00AE00CE" w:rsidRPr="008B6040">
        <w:t>.</w:t>
      </w:r>
      <w:r w:rsidRPr="008B6040">
        <w:t xml:space="preserve">  </w:t>
      </w:r>
    </w:p>
    <w:p w14:paraId="50B674EA" w14:textId="00648650" w:rsidR="00AE00CE" w:rsidRPr="008B6040" w:rsidRDefault="00517362" w:rsidP="000613BE">
      <w:pPr>
        <w:pStyle w:val="ListParagraph"/>
        <w:numPr>
          <w:ilvl w:val="0"/>
          <w:numId w:val="7"/>
        </w:numPr>
        <w:autoSpaceDE w:val="0"/>
        <w:spacing w:line="300" w:lineRule="atLeast"/>
      </w:pPr>
      <w:r w:rsidRPr="00BB43F9">
        <w:t xml:space="preserve">The </w:t>
      </w:r>
      <w:r w:rsidR="00AE00CE" w:rsidRPr="00BB43F9">
        <w:t xml:space="preserve">contribution </w:t>
      </w:r>
      <w:r w:rsidRPr="008B6040">
        <w:t xml:space="preserve">amount does not </w:t>
      </w:r>
      <w:r w:rsidR="00AE00CE" w:rsidRPr="008B6040">
        <w:t xml:space="preserve">have </w:t>
      </w:r>
      <w:r w:rsidRPr="008B6040">
        <w:t xml:space="preserve">a statistically significant </w:t>
      </w:r>
      <w:r w:rsidR="00AE00CE" w:rsidRPr="008B6040">
        <w:t>effect o</w:t>
      </w:r>
      <w:r w:rsidRPr="008B6040">
        <w:t xml:space="preserve">n the level of </w:t>
      </w:r>
      <w:r w:rsidR="000613BE" w:rsidRPr="008B6040">
        <w:t xml:space="preserve">support for </w:t>
      </w:r>
      <w:r w:rsidRPr="008B6040">
        <w:t>Jones</w:t>
      </w:r>
      <w:r w:rsidR="000613BE" w:rsidRPr="008B6040">
        <w:t xml:space="preserve"> </w:t>
      </w:r>
      <w:r w:rsidRPr="008B6040">
        <w:t>in either 2009 or 2013</w:t>
      </w:r>
      <w:r w:rsidR="00AE00CE" w:rsidRPr="008B6040">
        <w:t>.</w:t>
      </w:r>
    </w:p>
    <w:p w14:paraId="435B5128" w14:textId="63C54DFE" w:rsidR="00A6261A" w:rsidRPr="008B6040" w:rsidRDefault="00517362" w:rsidP="000613BE">
      <w:pPr>
        <w:pStyle w:val="ListParagraph"/>
        <w:numPr>
          <w:ilvl w:val="0"/>
          <w:numId w:val="7"/>
        </w:numPr>
        <w:autoSpaceDE w:val="0"/>
        <w:spacing w:line="300" w:lineRule="atLeast"/>
        <w:rPr>
          <w:b/>
        </w:rPr>
      </w:pPr>
      <w:r w:rsidRPr="008B6040">
        <w:t xml:space="preserve">The </w:t>
      </w:r>
      <w:r w:rsidR="000613BE" w:rsidRPr="008B6040">
        <w:t xml:space="preserve">difference between a Republican Jones versus a Democratic </w:t>
      </w:r>
      <w:r w:rsidR="00AE00CE" w:rsidRPr="008B6040">
        <w:t xml:space="preserve">Jones </w:t>
      </w:r>
      <w:r w:rsidR="000613BE" w:rsidRPr="008B6040">
        <w:t>is statistically s</w:t>
      </w:r>
      <w:r w:rsidRPr="008B6040">
        <w:t xml:space="preserve">ignificant </w:t>
      </w:r>
      <w:r w:rsidR="000613BE" w:rsidRPr="008B6040">
        <w:t>in 2009 (p&lt;</w:t>
      </w:r>
      <w:r w:rsidR="00BB43F9" w:rsidRPr="008B6040">
        <w:t>0.01)</w:t>
      </w:r>
      <w:r w:rsidR="000613BE" w:rsidRPr="008B6040">
        <w:t xml:space="preserve">, but not in 2013. </w:t>
      </w:r>
    </w:p>
    <w:p w14:paraId="2145545C" w14:textId="77777777" w:rsidR="00D55B26" w:rsidRPr="00A6261A" w:rsidRDefault="00D55B26" w:rsidP="00D55B26">
      <w:pPr>
        <w:rPr>
          <w:b/>
          <w:color w:val="FF0000"/>
          <w:sz w:val="22"/>
          <w:szCs w:val="22"/>
        </w:rPr>
      </w:pPr>
    </w:p>
    <w:p w14:paraId="7BC20551" w14:textId="77777777" w:rsidR="00D55B26" w:rsidRDefault="00D55B26" w:rsidP="00D55B26">
      <w:pPr>
        <w:pStyle w:val="Sinespaciado"/>
        <w:rPr>
          <w:b/>
          <w:sz w:val="22"/>
        </w:rPr>
      </w:pPr>
    </w:p>
    <w:p w14:paraId="5D52E198" w14:textId="77777777" w:rsidR="00D55B26" w:rsidRDefault="00D55B26" w:rsidP="00D55B26">
      <w:pPr>
        <w:pStyle w:val="Sinespaciado"/>
        <w:rPr>
          <w:b/>
          <w:sz w:val="22"/>
        </w:rPr>
      </w:pPr>
    </w:p>
    <w:p w14:paraId="4FA57715" w14:textId="77777777" w:rsidR="00D55B26" w:rsidRDefault="00D55B26" w:rsidP="00D55B26">
      <w:pPr>
        <w:widowControl/>
        <w:suppressAutoHyphens w:val="0"/>
        <w:rPr>
          <w:b/>
          <w:kern w:val="0"/>
          <w:sz w:val="22"/>
          <w:szCs w:val="22"/>
        </w:rPr>
      </w:pPr>
      <w:r>
        <w:rPr>
          <w:b/>
          <w:sz w:val="22"/>
        </w:rPr>
        <w:br w:type="page"/>
      </w:r>
    </w:p>
    <w:p w14:paraId="19D64BEE" w14:textId="77777777" w:rsidR="00A36B4A" w:rsidRPr="002F3843" w:rsidRDefault="00A36B4A" w:rsidP="00A36B4A">
      <w:pPr>
        <w:jc w:val="center"/>
        <w:rPr>
          <w:b/>
          <w:sz w:val="28"/>
          <w:szCs w:val="28"/>
        </w:rPr>
      </w:pPr>
      <w:r w:rsidRPr="002F3843">
        <w:rPr>
          <w:b/>
          <w:sz w:val="28"/>
          <w:szCs w:val="28"/>
        </w:rPr>
        <w:lastRenderedPageBreak/>
        <w:t>Figure 1—Voting Likelihood for Jones by Contribution Source, Amount, and Candidate Party (All Voters)</w:t>
      </w:r>
    </w:p>
    <w:p w14:paraId="4D2BA122" w14:textId="77777777" w:rsidR="00A36B4A" w:rsidRPr="002F3843" w:rsidRDefault="00A36B4A" w:rsidP="00A36B4A">
      <w:pPr>
        <w:rPr>
          <w:sz w:val="28"/>
          <w:szCs w:val="28"/>
        </w:rPr>
      </w:pPr>
    </w:p>
    <w:p w14:paraId="1DD16D9F" w14:textId="77777777" w:rsidR="00A36B4A" w:rsidRDefault="00A36B4A" w:rsidP="00A36B4A"/>
    <w:p w14:paraId="06671F31" w14:textId="77777777" w:rsidR="00A36B4A" w:rsidRDefault="00A36B4A" w:rsidP="00A36B4A">
      <w:r>
        <w:rPr>
          <w:noProof/>
          <w:lang w:eastAsia="en-US"/>
        </w:rPr>
        <w:drawing>
          <wp:inline distT="0" distB="0" distL="0" distR="0" wp14:anchorId="2104A9FE" wp14:editId="4AFA33D7">
            <wp:extent cx="5733709" cy="3145395"/>
            <wp:effectExtent l="19050" t="0" r="341" b="0"/>
            <wp:docPr id="5" name="그림 5" descr="\\psf\Home\Desktop\Screen Shot 2015-05-07 at 5.03.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f\Home\Desktop\Screen Shot 2015-05-07 at 5.03.05 PM.png"/>
                    <pic:cNvPicPr>
                      <a:picLocks noChangeAspect="1" noChangeArrowheads="1"/>
                    </pic:cNvPicPr>
                  </pic:nvPicPr>
                  <pic:blipFill>
                    <a:blip r:embed="rId10" cstate="print"/>
                    <a:srcRect/>
                    <a:stretch>
                      <a:fillRect/>
                    </a:stretch>
                  </pic:blipFill>
                  <pic:spPr bwMode="auto">
                    <a:xfrm>
                      <a:off x="0" y="0"/>
                      <a:ext cx="5731510" cy="3144189"/>
                    </a:xfrm>
                    <a:prstGeom prst="rect">
                      <a:avLst/>
                    </a:prstGeom>
                    <a:noFill/>
                    <a:ln w="9525">
                      <a:noFill/>
                      <a:miter lim="800000"/>
                      <a:headEnd/>
                      <a:tailEnd/>
                    </a:ln>
                  </pic:spPr>
                </pic:pic>
              </a:graphicData>
            </a:graphic>
          </wp:inline>
        </w:drawing>
      </w:r>
    </w:p>
    <w:p w14:paraId="3D2457A5" w14:textId="77777777" w:rsidR="00A36B4A" w:rsidRDefault="00A36B4A" w:rsidP="00A36B4A"/>
    <w:p w14:paraId="36431B4D" w14:textId="77777777" w:rsidR="00A36B4A" w:rsidRDefault="00A36B4A" w:rsidP="00A36B4A">
      <w:pPr>
        <w:rPr>
          <w:noProof/>
          <w:lang w:eastAsia="ko-KR"/>
        </w:rPr>
      </w:pPr>
    </w:p>
    <w:p w14:paraId="477B21F4" w14:textId="77777777" w:rsidR="00A36B4A" w:rsidRDefault="00A36B4A" w:rsidP="00A36B4A">
      <w:r>
        <w:rPr>
          <w:noProof/>
          <w:lang w:eastAsia="en-US"/>
        </w:rPr>
        <w:drawing>
          <wp:inline distT="0" distB="0" distL="0" distR="0" wp14:anchorId="7BA38C47" wp14:editId="4C498371">
            <wp:extent cx="5732439" cy="3405901"/>
            <wp:effectExtent l="19050" t="0" r="1611" b="0"/>
            <wp:docPr id="4" name="그림 4" descr="\\psf\Home\Desktop\Screen Shot 2015-05-07 at 5.0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ome\Desktop\Screen Shot 2015-05-07 at 5.00.23 PM.png"/>
                    <pic:cNvPicPr>
                      <a:picLocks noChangeAspect="1" noChangeArrowheads="1"/>
                    </pic:cNvPicPr>
                  </pic:nvPicPr>
                  <pic:blipFill>
                    <a:blip r:embed="rId11" cstate="print"/>
                    <a:srcRect/>
                    <a:stretch>
                      <a:fillRect/>
                    </a:stretch>
                  </pic:blipFill>
                  <pic:spPr bwMode="auto">
                    <a:xfrm>
                      <a:off x="0" y="0"/>
                      <a:ext cx="5731510" cy="3405349"/>
                    </a:xfrm>
                    <a:prstGeom prst="rect">
                      <a:avLst/>
                    </a:prstGeom>
                    <a:noFill/>
                    <a:ln w="9525">
                      <a:noFill/>
                      <a:miter lim="800000"/>
                      <a:headEnd/>
                      <a:tailEnd/>
                    </a:ln>
                  </pic:spPr>
                </pic:pic>
              </a:graphicData>
            </a:graphic>
          </wp:inline>
        </w:drawing>
      </w:r>
    </w:p>
    <w:p w14:paraId="59D26455" w14:textId="77777777" w:rsidR="00A36B4A" w:rsidRDefault="00A36B4A" w:rsidP="00A36B4A"/>
    <w:p w14:paraId="775FF0C9" w14:textId="77777777" w:rsidR="00A36B4A" w:rsidRDefault="00A36B4A" w:rsidP="00A36B4A"/>
    <w:p w14:paraId="36A53C0B" w14:textId="77777777" w:rsidR="00A36B4A" w:rsidRPr="00D954D8" w:rsidRDefault="00A36B4A" w:rsidP="00A36B4A">
      <w:pPr>
        <w:jc w:val="center"/>
        <w:rPr>
          <w:b/>
          <w:sz w:val="28"/>
          <w:szCs w:val="28"/>
        </w:rPr>
      </w:pPr>
      <w:r w:rsidRPr="00D954D8">
        <w:rPr>
          <w:b/>
          <w:sz w:val="28"/>
          <w:szCs w:val="28"/>
        </w:rPr>
        <w:lastRenderedPageBreak/>
        <w:t>Figure 2A—Voting Likelihood for Jones by Contribution Source, Amount, and Candidate Party (by Respondents’ Party Identification) in 2009</w:t>
      </w:r>
    </w:p>
    <w:p w14:paraId="7BFD308F" w14:textId="77777777" w:rsidR="00A36B4A" w:rsidRPr="00A36B4A" w:rsidRDefault="00A36B4A" w:rsidP="00A36B4A">
      <w:pPr>
        <w:widowControl/>
        <w:suppressAutoHyphens w:val="0"/>
        <w:rPr>
          <w:b/>
          <w:sz w:val="22"/>
          <w:szCs w:val="22"/>
        </w:rPr>
      </w:pPr>
    </w:p>
    <w:p w14:paraId="3B3CD17D" w14:textId="77777777" w:rsidR="00E57732" w:rsidRDefault="00A36B4A" w:rsidP="008B6040">
      <w:pPr>
        <w:widowControl/>
        <w:suppressAutoHyphens w:val="0"/>
        <w:jc w:val="center"/>
        <w:rPr>
          <w:b/>
          <w:sz w:val="22"/>
          <w:szCs w:val="22"/>
        </w:rPr>
      </w:pPr>
      <w:r>
        <w:rPr>
          <w:b/>
          <w:noProof/>
          <w:sz w:val="22"/>
          <w:szCs w:val="22"/>
          <w:lang w:eastAsia="en-US"/>
        </w:rPr>
        <w:drawing>
          <wp:inline distT="0" distB="0" distL="0" distR="0" wp14:anchorId="3B44656F" wp14:editId="49F435EE">
            <wp:extent cx="5527885" cy="2246175"/>
            <wp:effectExtent l="19050" t="0" r="0" b="0"/>
            <wp:docPr id="6" name="그림 6" descr="\\psf\Home\Desktop\Screen Shot 2015-05-07 at 5.0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f\Home\Desktop\Screen Shot 2015-05-07 at 5.05.22 PM.png"/>
                    <pic:cNvPicPr>
                      <a:picLocks noChangeAspect="1" noChangeArrowheads="1"/>
                    </pic:cNvPicPr>
                  </pic:nvPicPr>
                  <pic:blipFill>
                    <a:blip r:embed="rId12" cstate="print"/>
                    <a:srcRect/>
                    <a:stretch>
                      <a:fillRect/>
                    </a:stretch>
                  </pic:blipFill>
                  <pic:spPr bwMode="auto">
                    <a:xfrm>
                      <a:off x="0" y="0"/>
                      <a:ext cx="5530659" cy="2247302"/>
                    </a:xfrm>
                    <a:prstGeom prst="rect">
                      <a:avLst/>
                    </a:prstGeom>
                    <a:noFill/>
                    <a:ln w="9525">
                      <a:noFill/>
                      <a:miter lim="800000"/>
                      <a:headEnd/>
                      <a:tailEnd/>
                    </a:ln>
                  </pic:spPr>
                </pic:pic>
              </a:graphicData>
            </a:graphic>
          </wp:inline>
        </w:drawing>
      </w:r>
    </w:p>
    <w:p w14:paraId="273D85D9" w14:textId="77777777" w:rsidR="00A36B4A" w:rsidRDefault="00A36B4A" w:rsidP="00A36B4A">
      <w:pPr>
        <w:widowControl/>
        <w:suppressAutoHyphens w:val="0"/>
        <w:rPr>
          <w:b/>
          <w:sz w:val="22"/>
          <w:szCs w:val="22"/>
        </w:rPr>
      </w:pPr>
    </w:p>
    <w:p w14:paraId="7E449CB6" w14:textId="77777777" w:rsidR="00E57732" w:rsidRDefault="00A36B4A" w:rsidP="008B6040">
      <w:pPr>
        <w:widowControl/>
        <w:suppressAutoHyphens w:val="0"/>
        <w:jc w:val="center"/>
        <w:rPr>
          <w:b/>
          <w:sz w:val="22"/>
          <w:szCs w:val="22"/>
        </w:rPr>
      </w:pPr>
      <w:r>
        <w:rPr>
          <w:b/>
          <w:noProof/>
          <w:sz w:val="22"/>
          <w:szCs w:val="22"/>
          <w:lang w:eastAsia="en-US"/>
        </w:rPr>
        <w:drawing>
          <wp:inline distT="0" distB="0" distL="0" distR="0" wp14:anchorId="38C5C6CD" wp14:editId="16686A10">
            <wp:extent cx="5333535" cy="2402291"/>
            <wp:effectExtent l="19050" t="0" r="465" b="0"/>
            <wp:docPr id="7" name="그림 7" descr="\\psf\Home\Desktop\Screen Shot 2015-05-07 at 5.0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f\Home\Desktop\Screen Shot 2015-05-07 at 5.05.46 PM.png"/>
                    <pic:cNvPicPr>
                      <a:picLocks noChangeAspect="1" noChangeArrowheads="1"/>
                    </pic:cNvPicPr>
                  </pic:nvPicPr>
                  <pic:blipFill>
                    <a:blip r:embed="rId13" cstate="print"/>
                    <a:srcRect/>
                    <a:stretch>
                      <a:fillRect/>
                    </a:stretch>
                  </pic:blipFill>
                  <pic:spPr bwMode="auto">
                    <a:xfrm>
                      <a:off x="0" y="0"/>
                      <a:ext cx="5336156" cy="2403472"/>
                    </a:xfrm>
                    <a:prstGeom prst="rect">
                      <a:avLst/>
                    </a:prstGeom>
                    <a:noFill/>
                    <a:ln w="9525">
                      <a:noFill/>
                      <a:miter lim="800000"/>
                      <a:headEnd/>
                      <a:tailEnd/>
                    </a:ln>
                  </pic:spPr>
                </pic:pic>
              </a:graphicData>
            </a:graphic>
          </wp:inline>
        </w:drawing>
      </w:r>
    </w:p>
    <w:p w14:paraId="293CEBE1" w14:textId="77777777" w:rsidR="00A36B4A" w:rsidRDefault="00A36B4A" w:rsidP="00A36B4A">
      <w:pPr>
        <w:widowControl/>
        <w:suppressAutoHyphens w:val="0"/>
        <w:rPr>
          <w:b/>
          <w:sz w:val="22"/>
          <w:szCs w:val="22"/>
        </w:rPr>
      </w:pPr>
    </w:p>
    <w:p w14:paraId="2131D0A9" w14:textId="77777777" w:rsidR="00A36B4A" w:rsidRDefault="00A36B4A" w:rsidP="00A36B4A">
      <w:pPr>
        <w:widowControl/>
        <w:suppressAutoHyphens w:val="0"/>
        <w:rPr>
          <w:b/>
          <w:sz w:val="22"/>
          <w:szCs w:val="22"/>
        </w:rPr>
      </w:pPr>
    </w:p>
    <w:p w14:paraId="0F1EA689" w14:textId="77777777" w:rsidR="00E57732" w:rsidRDefault="00A36B4A" w:rsidP="008B6040">
      <w:pPr>
        <w:widowControl/>
        <w:suppressAutoHyphens w:val="0"/>
        <w:jc w:val="center"/>
        <w:rPr>
          <w:b/>
          <w:sz w:val="22"/>
          <w:szCs w:val="22"/>
        </w:rPr>
      </w:pPr>
      <w:r>
        <w:rPr>
          <w:b/>
          <w:noProof/>
          <w:sz w:val="22"/>
          <w:szCs w:val="22"/>
          <w:lang w:eastAsia="en-US"/>
        </w:rPr>
        <w:drawing>
          <wp:inline distT="0" distB="0" distL="0" distR="0" wp14:anchorId="3EB99525" wp14:editId="709B8228">
            <wp:extent cx="5645770" cy="2281221"/>
            <wp:effectExtent l="19050" t="0" r="0" b="0"/>
            <wp:docPr id="8" name="그림 8" descr="\\psf\Home\Desktop\Screen Shot 2015-05-07 at 5.06.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ome\Desktop\Screen Shot 2015-05-07 at 5.06.02 PM.png"/>
                    <pic:cNvPicPr>
                      <a:picLocks noChangeAspect="1" noChangeArrowheads="1"/>
                    </pic:cNvPicPr>
                  </pic:nvPicPr>
                  <pic:blipFill>
                    <a:blip r:embed="rId14" cstate="print"/>
                    <a:srcRect/>
                    <a:stretch>
                      <a:fillRect/>
                    </a:stretch>
                  </pic:blipFill>
                  <pic:spPr bwMode="auto">
                    <a:xfrm>
                      <a:off x="0" y="0"/>
                      <a:ext cx="5645434" cy="2281085"/>
                    </a:xfrm>
                    <a:prstGeom prst="rect">
                      <a:avLst/>
                    </a:prstGeom>
                    <a:noFill/>
                    <a:ln w="9525">
                      <a:noFill/>
                      <a:miter lim="800000"/>
                      <a:headEnd/>
                      <a:tailEnd/>
                    </a:ln>
                  </pic:spPr>
                </pic:pic>
              </a:graphicData>
            </a:graphic>
          </wp:inline>
        </w:drawing>
      </w:r>
    </w:p>
    <w:p w14:paraId="25E77FA8" w14:textId="77777777" w:rsidR="00A36B4A" w:rsidRDefault="00A36B4A" w:rsidP="00A36B4A">
      <w:pPr>
        <w:widowControl/>
        <w:suppressAutoHyphens w:val="0"/>
        <w:rPr>
          <w:b/>
          <w:sz w:val="28"/>
          <w:szCs w:val="28"/>
        </w:rPr>
      </w:pPr>
      <w:r w:rsidRPr="00273A19">
        <w:rPr>
          <w:b/>
          <w:sz w:val="28"/>
          <w:szCs w:val="28"/>
        </w:rPr>
        <w:lastRenderedPageBreak/>
        <w:t>Figure 2B—Voting Likelihood for Jones by Contribution Source, Amount, and Candidate Party (by Respondents’ Party Identification) in 2013</w:t>
      </w:r>
    </w:p>
    <w:p w14:paraId="3D19181D" w14:textId="77777777" w:rsidR="00A36B4A" w:rsidRDefault="00A36B4A" w:rsidP="00A36B4A">
      <w:pPr>
        <w:widowControl/>
        <w:suppressAutoHyphens w:val="0"/>
        <w:rPr>
          <w:b/>
          <w:sz w:val="28"/>
          <w:szCs w:val="28"/>
        </w:rPr>
      </w:pPr>
    </w:p>
    <w:p w14:paraId="06BEE056" w14:textId="77777777" w:rsidR="00A36B4A" w:rsidRDefault="00A36B4A" w:rsidP="00A36B4A">
      <w:pPr>
        <w:widowControl/>
        <w:suppressAutoHyphens w:val="0"/>
        <w:jc w:val="center"/>
        <w:rPr>
          <w:b/>
          <w:sz w:val="28"/>
          <w:szCs w:val="28"/>
        </w:rPr>
      </w:pPr>
      <w:r>
        <w:rPr>
          <w:b/>
          <w:noProof/>
          <w:sz w:val="28"/>
          <w:szCs w:val="28"/>
          <w:lang w:eastAsia="en-US"/>
        </w:rPr>
        <w:drawing>
          <wp:inline distT="0" distB="0" distL="0" distR="0" wp14:anchorId="18DD30F2" wp14:editId="78AB637E">
            <wp:extent cx="5043614" cy="2373617"/>
            <wp:effectExtent l="19050" t="0" r="4636" b="0"/>
            <wp:docPr id="9" name="그림 9" descr="\\psf\Home\Desktop\Screen Shot 2015-05-07 at 5.1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f\Home\Desktop\Screen Shot 2015-05-07 at 5.10.13 PM.png"/>
                    <pic:cNvPicPr>
                      <a:picLocks noChangeAspect="1" noChangeArrowheads="1"/>
                    </pic:cNvPicPr>
                  </pic:nvPicPr>
                  <pic:blipFill>
                    <a:blip r:embed="rId15" cstate="print"/>
                    <a:srcRect/>
                    <a:stretch>
                      <a:fillRect/>
                    </a:stretch>
                  </pic:blipFill>
                  <pic:spPr bwMode="auto">
                    <a:xfrm>
                      <a:off x="0" y="0"/>
                      <a:ext cx="5046274" cy="2374869"/>
                    </a:xfrm>
                    <a:prstGeom prst="rect">
                      <a:avLst/>
                    </a:prstGeom>
                    <a:noFill/>
                    <a:ln w="9525">
                      <a:noFill/>
                      <a:miter lim="800000"/>
                      <a:headEnd/>
                      <a:tailEnd/>
                    </a:ln>
                  </pic:spPr>
                </pic:pic>
              </a:graphicData>
            </a:graphic>
          </wp:inline>
        </w:drawing>
      </w:r>
    </w:p>
    <w:p w14:paraId="63B107E0" w14:textId="77777777" w:rsidR="00A36B4A" w:rsidRDefault="00A36B4A" w:rsidP="00A36B4A">
      <w:pPr>
        <w:widowControl/>
        <w:suppressAutoHyphens w:val="0"/>
        <w:rPr>
          <w:b/>
          <w:sz w:val="28"/>
          <w:szCs w:val="28"/>
        </w:rPr>
      </w:pPr>
    </w:p>
    <w:p w14:paraId="198804E7" w14:textId="77777777" w:rsidR="00A36B4A" w:rsidRPr="00273A19" w:rsidRDefault="00A36B4A" w:rsidP="00A36B4A">
      <w:pPr>
        <w:widowControl/>
        <w:suppressAutoHyphens w:val="0"/>
        <w:jc w:val="center"/>
        <w:rPr>
          <w:b/>
          <w:sz w:val="28"/>
          <w:szCs w:val="28"/>
        </w:rPr>
      </w:pPr>
      <w:r>
        <w:rPr>
          <w:b/>
          <w:noProof/>
          <w:sz w:val="28"/>
          <w:szCs w:val="28"/>
          <w:lang w:eastAsia="en-US"/>
        </w:rPr>
        <w:drawing>
          <wp:inline distT="0" distB="0" distL="0" distR="0" wp14:anchorId="6214BFB9" wp14:editId="510C0C39">
            <wp:extent cx="4973511" cy="2322639"/>
            <wp:effectExtent l="19050" t="0" r="0" b="0"/>
            <wp:docPr id="10" name="그림 10" descr="\\psf\Home\Desktop\Screen Shot 2015-05-07 at 5.1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f\Home\Desktop\Screen Shot 2015-05-07 at 5.10.46 PM.png"/>
                    <pic:cNvPicPr>
                      <a:picLocks noChangeAspect="1" noChangeArrowheads="1"/>
                    </pic:cNvPicPr>
                  </pic:nvPicPr>
                  <pic:blipFill>
                    <a:blip r:embed="rId16" cstate="print"/>
                    <a:srcRect/>
                    <a:stretch>
                      <a:fillRect/>
                    </a:stretch>
                  </pic:blipFill>
                  <pic:spPr bwMode="auto">
                    <a:xfrm>
                      <a:off x="0" y="0"/>
                      <a:ext cx="4975945" cy="2323776"/>
                    </a:xfrm>
                    <a:prstGeom prst="rect">
                      <a:avLst/>
                    </a:prstGeom>
                    <a:noFill/>
                    <a:ln w="9525">
                      <a:noFill/>
                      <a:miter lim="800000"/>
                      <a:headEnd/>
                      <a:tailEnd/>
                    </a:ln>
                  </pic:spPr>
                </pic:pic>
              </a:graphicData>
            </a:graphic>
          </wp:inline>
        </w:drawing>
      </w:r>
    </w:p>
    <w:p w14:paraId="1230D44F" w14:textId="77777777" w:rsidR="00E57732" w:rsidRDefault="00E57732" w:rsidP="008B6040">
      <w:pPr>
        <w:jc w:val="center"/>
        <w:rPr>
          <w:sz w:val="28"/>
          <w:szCs w:val="28"/>
        </w:rPr>
      </w:pPr>
    </w:p>
    <w:p w14:paraId="764D8BA0" w14:textId="77777777" w:rsidR="00A36B4A" w:rsidRPr="00273A19" w:rsidRDefault="00A36B4A" w:rsidP="00A36B4A">
      <w:pPr>
        <w:jc w:val="center"/>
        <w:rPr>
          <w:sz w:val="28"/>
          <w:szCs w:val="28"/>
        </w:rPr>
      </w:pPr>
      <w:r>
        <w:rPr>
          <w:noProof/>
          <w:sz w:val="28"/>
          <w:szCs w:val="28"/>
          <w:lang w:eastAsia="en-US"/>
        </w:rPr>
        <w:drawing>
          <wp:inline distT="0" distB="0" distL="0" distR="0" wp14:anchorId="563DD5C0" wp14:editId="1D3E07EF">
            <wp:extent cx="5076133" cy="2242988"/>
            <wp:effectExtent l="19050" t="0" r="0" b="0"/>
            <wp:docPr id="11" name="그림 11" descr="\\psf\Home\Desktop\Screen Shot 2015-05-07 at 5.1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esktop\Screen Shot 2015-05-07 at 5.11.09 PM.png"/>
                    <pic:cNvPicPr>
                      <a:picLocks noChangeAspect="1" noChangeArrowheads="1"/>
                    </pic:cNvPicPr>
                  </pic:nvPicPr>
                  <pic:blipFill>
                    <a:blip r:embed="rId17" cstate="print"/>
                    <a:srcRect/>
                    <a:stretch>
                      <a:fillRect/>
                    </a:stretch>
                  </pic:blipFill>
                  <pic:spPr bwMode="auto">
                    <a:xfrm>
                      <a:off x="0" y="0"/>
                      <a:ext cx="5078911" cy="2244216"/>
                    </a:xfrm>
                    <a:prstGeom prst="rect">
                      <a:avLst/>
                    </a:prstGeom>
                    <a:noFill/>
                    <a:ln w="9525">
                      <a:noFill/>
                      <a:miter lim="800000"/>
                      <a:headEnd/>
                      <a:tailEnd/>
                    </a:ln>
                  </pic:spPr>
                </pic:pic>
              </a:graphicData>
            </a:graphic>
          </wp:inline>
        </w:drawing>
      </w:r>
    </w:p>
    <w:p w14:paraId="17F26A6B" w14:textId="77777777" w:rsidR="00A36B4A" w:rsidRDefault="00A36B4A" w:rsidP="00C24955">
      <w:pPr>
        <w:widowControl/>
        <w:suppressAutoHyphens w:val="0"/>
        <w:rPr>
          <w:b/>
          <w:sz w:val="22"/>
          <w:szCs w:val="22"/>
        </w:rPr>
      </w:pPr>
    </w:p>
    <w:p w14:paraId="49E956EC" w14:textId="77777777" w:rsidR="00D55B26" w:rsidRPr="00C16329" w:rsidRDefault="00D55B26" w:rsidP="00C24955">
      <w:pPr>
        <w:widowControl/>
        <w:suppressAutoHyphens w:val="0"/>
        <w:rPr>
          <w:sz w:val="22"/>
          <w:szCs w:val="22"/>
        </w:rPr>
      </w:pPr>
      <w:r>
        <w:rPr>
          <w:b/>
          <w:sz w:val="22"/>
          <w:szCs w:val="22"/>
        </w:rPr>
        <w:lastRenderedPageBreak/>
        <w:t>Table 2—P</w:t>
      </w:r>
      <w:r w:rsidRPr="00C16329">
        <w:rPr>
          <w:b/>
          <w:sz w:val="22"/>
          <w:szCs w:val="22"/>
        </w:rPr>
        <w:t xml:space="preserve">redicting </w:t>
      </w:r>
      <w:r>
        <w:rPr>
          <w:b/>
          <w:sz w:val="22"/>
          <w:szCs w:val="22"/>
        </w:rPr>
        <w:t>S</w:t>
      </w:r>
      <w:r w:rsidRPr="00C16329">
        <w:rPr>
          <w:b/>
          <w:sz w:val="22"/>
          <w:szCs w:val="22"/>
        </w:rPr>
        <w:t>upport for Candidate Jones by Treatment (2009)</w:t>
      </w:r>
    </w:p>
    <w:tbl>
      <w:tblPr>
        <w:tblW w:w="8705" w:type="dxa"/>
        <w:tblInd w:w="-176" w:type="dxa"/>
        <w:tblLook w:val="00A0" w:firstRow="1" w:lastRow="0" w:firstColumn="1" w:lastColumn="0" w:noHBand="0" w:noVBand="0"/>
      </w:tblPr>
      <w:tblGrid>
        <w:gridCol w:w="2552"/>
        <w:gridCol w:w="1218"/>
        <w:gridCol w:w="1073"/>
        <w:gridCol w:w="1304"/>
        <w:gridCol w:w="1169"/>
        <w:gridCol w:w="1389"/>
      </w:tblGrid>
      <w:tr w:rsidR="00D55B26" w:rsidRPr="00C16329" w14:paraId="7DE5507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7B88396" w14:textId="77777777" w:rsidR="00D55B26" w:rsidRPr="00C16329" w:rsidRDefault="00D55B26" w:rsidP="00C24955">
            <w:pPr>
              <w:widowControl/>
              <w:suppressAutoHyphens w:val="0"/>
              <w:rPr>
                <w:kern w:val="0"/>
                <w:lang w:eastAsia="ko-KR"/>
              </w:rPr>
            </w:pPr>
            <w:r w:rsidRPr="00C16329">
              <w:rPr>
                <w:kern w:val="0"/>
                <w:sz w:val="22"/>
                <w:szCs w:val="22"/>
                <w:lang w:eastAsia="ko-KR"/>
              </w:rPr>
              <w:t>VARIABLES</w:t>
            </w:r>
          </w:p>
        </w:tc>
        <w:tc>
          <w:tcPr>
            <w:tcW w:w="1218" w:type="dxa"/>
            <w:tcBorders>
              <w:top w:val="single" w:sz="4" w:space="0" w:color="auto"/>
              <w:left w:val="single" w:sz="4" w:space="0" w:color="auto"/>
              <w:bottom w:val="single" w:sz="4" w:space="0" w:color="auto"/>
              <w:right w:val="single" w:sz="4" w:space="0" w:color="auto"/>
            </w:tcBorders>
          </w:tcPr>
          <w:p w14:paraId="1C9CE1E5" w14:textId="77777777" w:rsidR="00D55B26" w:rsidRPr="00C16329" w:rsidRDefault="00D55B26" w:rsidP="00C24955">
            <w:pPr>
              <w:widowControl/>
              <w:suppressAutoHyphens w:val="0"/>
              <w:jc w:val="center"/>
              <w:rPr>
                <w:kern w:val="0"/>
                <w:lang w:eastAsia="ko-KR"/>
              </w:rPr>
            </w:pPr>
            <w:r w:rsidRPr="00C16329">
              <w:rPr>
                <w:kern w:val="0"/>
                <w:sz w:val="22"/>
                <w:szCs w:val="22"/>
                <w:lang w:eastAsia="ko-KR"/>
              </w:rPr>
              <w:t>Base (All)</w:t>
            </w:r>
          </w:p>
        </w:tc>
        <w:tc>
          <w:tcPr>
            <w:tcW w:w="1073" w:type="dxa"/>
            <w:tcBorders>
              <w:top w:val="single" w:sz="4" w:space="0" w:color="auto"/>
              <w:left w:val="single" w:sz="4" w:space="0" w:color="auto"/>
              <w:bottom w:val="single" w:sz="4" w:space="0" w:color="auto"/>
              <w:right w:val="single" w:sz="4" w:space="0" w:color="auto"/>
            </w:tcBorders>
            <w:noWrap/>
            <w:vAlign w:val="bottom"/>
          </w:tcPr>
          <w:p w14:paraId="4992BDD8" w14:textId="77777777" w:rsidR="00D55B26" w:rsidRPr="00C16329" w:rsidRDefault="00D55B26" w:rsidP="00C24955">
            <w:pPr>
              <w:widowControl/>
              <w:suppressAutoHyphens w:val="0"/>
              <w:jc w:val="center"/>
              <w:rPr>
                <w:kern w:val="0"/>
                <w:lang w:eastAsia="ko-KR"/>
              </w:rPr>
            </w:pPr>
            <w:r w:rsidRPr="00C16329">
              <w:rPr>
                <w:kern w:val="0"/>
                <w:sz w:val="22"/>
                <w:szCs w:val="22"/>
                <w:lang w:eastAsia="ko-KR"/>
              </w:rPr>
              <w:t>All</w:t>
            </w:r>
          </w:p>
        </w:tc>
        <w:tc>
          <w:tcPr>
            <w:tcW w:w="1304" w:type="dxa"/>
            <w:tcBorders>
              <w:top w:val="single" w:sz="4" w:space="0" w:color="auto"/>
              <w:left w:val="single" w:sz="4" w:space="0" w:color="auto"/>
              <w:bottom w:val="single" w:sz="4" w:space="0" w:color="auto"/>
              <w:right w:val="single" w:sz="4" w:space="0" w:color="auto"/>
            </w:tcBorders>
            <w:noWrap/>
            <w:vAlign w:val="bottom"/>
          </w:tcPr>
          <w:p w14:paraId="1D89F564" w14:textId="77777777" w:rsidR="00D55B26" w:rsidRPr="00C16329" w:rsidRDefault="00D55B26" w:rsidP="00C24955">
            <w:pPr>
              <w:widowControl/>
              <w:suppressAutoHyphens w:val="0"/>
              <w:jc w:val="center"/>
              <w:rPr>
                <w:kern w:val="0"/>
                <w:lang w:eastAsia="ko-KR"/>
              </w:rPr>
            </w:pPr>
            <w:r w:rsidRPr="00C16329">
              <w:rPr>
                <w:kern w:val="0"/>
                <w:sz w:val="22"/>
                <w:szCs w:val="22"/>
                <w:lang w:eastAsia="ko-KR"/>
              </w:rPr>
              <w:t>Republicans</w:t>
            </w:r>
          </w:p>
        </w:tc>
        <w:tc>
          <w:tcPr>
            <w:tcW w:w="1169" w:type="dxa"/>
            <w:tcBorders>
              <w:top w:val="single" w:sz="4" w:space="0" w:color="auto"/>
              <w:left w:val="single" w:sz="4" w:space="0" w:color="auto"/>
              <w:bottom w:val="single" w:sz="4" w:space="0" w:color="auto"/>
              <w:right w:val="single" w:sz="4" w:space="0" w:color="auto"/>
            </w:tcBorders>
            <w:noWrap/>
            <w:vAlign w:val="bottom"/>
          </w:tcPr>
          <w:p w14:paraId="5097C2B6" w14:textId="77777777" w:rsidR="00D55B26" w:rsidRPr="00C16329" w:rsidRDefault="00D55B26" w:rsidP="00C24955">
            <w:pPr>
              <w:widowControl/>
              <w:suppressAutoHyphens w:val="0"/>
              <w:jc w:val="center"/>
              <w:rPr>
                <w:kern w:val="0"/>
                <w:lang w:eastAsia="ko-KR"/>
              </w:rPr>
            </w:pPr>
            <w:r w:rsidRPr="00C16329">
              <w:rPr>
                <w:kern w:val="0"/>
                <w:sz w:val="22"/>
                <w:szCs w:val="22"/>
                <w:lang w:eastAsia="ko-KR"/>
              </w:rPr>
              <w:t>Democrats</w:t>
            </w:r>
          </w:p>
        </w:tc>
        <w:tc>
          <w:tcPr>
            <w:tcW w:w="1389" w:type="dxa"/>
            <w:tcBorders>
              <w:top w:val="single" w:sz="4" w:space="0" w:color="auto"/>
              <w:left w:val="single" w:sz="4" w:space="0" w:color="auto"/>
              <w:bottom w:val="single" w:sz="4" w:space="0" w:color="auto"/>
              <w:right w:val="single" w:sz="4" w:space="0" w:color="auto"/>
            </w:tcBorders>
            <w:noWrap/>
            <w:vAlign w:val="bottom"/>
          </w:tcPr>
          <w:p w14:paraId="6915A199" w14:textId="77777777" w:rsidR="00D55B26" w:rsidRPr="00C16329" w:rsidRDefault="00D55B26" w:rsidP="00C24955">
            <w:pPr>
              <w:widowControl/>
              <w:suppressAutoHyphens w:val="0"/>
              <w:jc w:val="center"/>
              <w:rPr>
                <w:kern w:val="0"/>
                <w:lang w:eastAsia="ko-KR"/>
              </w:rPr>
            </w:pPr>
            <w:r w:rsidRPr="00C16329">
              <w:rPr>
                <w:kern w:val="0"/>
                <w:sz w:val="22"/>
                <w:szCs w:val="22"/>
                <w:lang w:eastAsia="ko-KR"/>
              </w:rPr>
              <w:t>Independents</w:t>
            </w:r>
          </w:p>
        </w:tc>
      </w:tr>
      <w:tr w:rsidR="00D55B26" w:rsidRPr="00C16329" w14:paraId="61FD2C16"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14D8015"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Tobacco</w:t>
            </w:r>
          </w:p>
        </w:tc>
        <w:tc>
          <w:tcPr>
            <w:tcW w:w="1218" w:type="dxa"/>
            <w:tcBorders>
              <w:top w:val="single" w:sz="4" w:space="0" w:color="auto"/>
              <w:left w:val="single" w:sz="4" w:space="0" w:color="auto"/>
              <w:bottom w:val="single" w:sz="4" w:space="0" w:color="auto"/>
              <w:right w:val="single" w:sz="4" w:space="0" w:color="auto"/>
            </w:tcBorders>
            <w:vAlign w:val="bottom"/>
          </w:tcPr>
          <w:p w14:paraId="75379A24" w14:textId="77777777" w:rsidR="00D55B26" w:rsidRPr="0093531D" w:rsidRDefault="00E13F67" w:rsidP="00C24955">
            <w:pPr>
              <w:jc w:val="center"/>
              <w:rPr>
                <w:sz w:val="20"/>
                <w:szCs w:val="20"/>
              </w:rPr>
            </w:pPr>
            <w:r>
              <w:rPr>
                <w:sz w:val="20"/>
                <w:szCs w:val="20"/>
              </w:rPr>
              <w:t>-</w:t>
            </w:r>
            <w:r w:rsidR="00D55B26" w:rsidRPr="0093531D">
              <w:rPr>
                <w:sz w:val="20"/>
                <w:szCs w:val="20"/>
              </w:rPr>
              <w:t>0.933***</w:t>
            </w:r>
          </w:p>
        </w:tc>
        <w:tc>
          <w:tcPr>
            <w:tcW w:w="1073" w:type="dxa"/>
            <w:tcBorders>
              <w:top w:val="single" w:sz="4" w:space="0" w:color="auto"/>
              <w:left w:val="single" w:sz="4" w:space="0" w:color="auto"/>
              <w:bottom w:val="single" w:sz="4" w:space="0" w:color="auto"/>
              <w:right w:val="single" w:sz="4" w:space="0" w:color="auto"/>
            </w:tcBorders>
            <w:noWrap/>
            <w:vAlign w:val="bottom"/>
          </w:tcPr>
          <w:p w14:paraId="7121423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-1.803***</w:t>
            </w:r>
          </w:p>
        </w:tc>
        <w:tc>
          <w:tcPr>
            <w:tcW w:w="1304" w:type="dxa"/>
            <w:tcBorders>
              <w:top w:val="single" w:sz="4" w:space="0" w:color="auto"/>
              <w:left w:val="single" w:sz="4" w:space="0" w:color="auto"/>
              <w:bottom w:val="single" w:sz="4" w:space="0" w:color="auto"/>
              <w:right w:val="single" w:sz="4" w:space="0" w:color="auto"/>
            </w:tcBorders>
            <w:noWrap/>
            <w:vAlign w:val="bottom"/>
          </w:tcPr>
          <w:p w14:paraId="23F67B5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-1.447**</w:t>
            </w:r>
          </w:p>
        </w:tc>
        <w:tc>
          <w:tcPr>
            <w:tcW w:w="1169" w:type="dxa"/>
            <w:tcBorders>
              <w:top w:val="single" w:sz="4" w:space="0" w:color="auto"/>
              <w:left w:val="single" w:sz="4" w:space="0" w:color="auto"/>
              <w:bottom w:val="single" w:sz="4" w:space="0" w:color="auto"/>
              <w:right w:val="single" w:sz="4" w:space="0" w:color="auto"/>
            </w:tcBorders>
            <w:noWrap/>
            <w:vAlign w:val="bottom"/>
          </w:tcPr>
          <w:p w14:paraId="41E5C0F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-1.835***</w:t>
            </w:r>
          </w:p>
        </w:tc>
        <w:tc>
          <w:tcPr>
            <w:tcW w:w="1389" w:type="dxa"/>
            <w:tcBorders>
              <w:top w:val="single" w:sz="4" w:space="0" w:color="auto"/>
              <w:left w:val="single" w:sz="4" w:space="0" w:color="auto"/>
              <w:bottom w:val="single" w:sz="4" w:space="0" w:color="auto"/>
              <w:right w:val="single" w:sz="4" w:space="0" w:color="auto"/>
            </w:tcBorders>
            <w:noWrap/>
            <w:vAlign w:val="bottom"/>
          </w:tcPr>
          <w:p w14:paraId="2627DAA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-1.833***</w:t>
            </w:r>
          </w:p>
        </w:tc>
      </w:tr>
      <w:tr w:rsidR="00D55B26" w:rsidRPr="00C16329" w14:paraId="0EB6AEFC"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489130E4"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050D800F" w14:textId="77777777" w:rsidR="00D55B26" w:rsidRPr="0093531D" w:rsidRDefault="00D55B26" w:rsidP="00C24955">
            <w:pPr>
              <w:jc w:val="center"/>
              <w:rPr>
                <w:sz w:val="20"/>
                <w:szCs w:val="20"/>
              </w:rPr>
            </w:pPr>
            <w:r w:rsidRPr="0093531D">
              <w:rPr>
                <w:sz w:val="20"/>
                <w:szCs w:val="20"/>
              </w:rPr>
              <w:t>(0.172)</w:t>
            </w:r>
          </w:p>
        </w:tc>
        <w:tc>
          <w:tcPr>
            <w:tcW w:w="1073" w:type="dxa"/>
            <w:tcBorders>
              <w:top w:val="single" w:sz="4" w:space="0" w:color="auto"/>
              <w:left w:val="single" w:sz="4" w:space="0" w:color="auto"/>
              <w:bottom w:val="single" w:sz="4" w:space="0" w:color="auto"/>
              <w:right w:val="single" w:sz="4" w:space="0" w:color="auto"/>
            </w:tcBorders>
            <w:noWrap/>
            <w:vAlign w:val="bottom"/>
          </w:tcPr>
          <w:p w14:paraId="71F6822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(0.305)</w:t>
            </w:r>
          </w:p>
        </w:tc>
        <w:tc>
          <w:tcPr>
            <w:tcW w:w="1304" w:type="dxa"/>
            <w:tcBorders>
              <w:top w:val="single" w:sz="4" w:space="0" w:color="auto"/>
              <w:left w:val="single" w:sz="4" w:space="0" w:color="auto"/>
              <w:bottom w:val="single" w:sz="4" w:space="0" w:color="auto"/>
              <w:right w:val="single" w:sz="4" w:space="0" w:color="auto"/>
            </w:tcBorders>
            <w:noWrap/>
            <w:vAlign w:val="bottom"/>
          </w:tcPr>
          <w:p w14:paraId="18EB458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(0.605)</w:t>
            </w:r>
          </w:p>
        </w:tc>
        <w:tc>
          <w:tcPr>
            <w:tcW w:w="1169" w:type="dxa"/>
            <w:tcBorders>
              <w:top w:val="single" w:sz="4" w:space="0" w:color="auto"/>
              <w:left w:val="single" w:sz="4" w:space="0" w:color="auto"/>
              <w:bottom w:val="single" w:sz="4" w:space="0" w:color="auto"/>
              <w:right w:val="single" w:sz="4" w:space="0" w:color="auto"/>
            </w:tcBorders>
            <w:noWrap/>
            <w:vAlign w:val="bottom"/>
          </w:tcPr>
          <w:p w14:paraId="14D6B9D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(0.443)</w:t>
            </w:r>
          </w:p>
        </w:tc>
        <w:tc>
          <w:tcPr>
            <w:tcW w:w="1389" w:type="dxa"/>
            <w:tcBorders>
              <w:top w:val="single" w:sz="4" w:space="0" w:color="auto"/>
              <w:left w:val="single" w:sz="4" w:space="0" w:color="auto"/>
              <w:bottom w:val="single" w:sz="4" w:space="0" w:color="auto"/>
              <w:right w:val="single" w:sz="4" w:space="0" w:color="auto"/>
            </w:tcBorders>
            <w:noWrap/>
            <w:vAlign w:val="bottom"/>
          </w:tcPr>
          <w:p w14:paraId="0CA41B4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(0.594)</w:t>
            </w:r>
          </w:p>
        </w:tc>
      </w:tr>
      <w:tr w:rsidR="00D55B26" w:rsidRPr="00C16329" w14:paraId="6813883F"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163C4A1"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Trial lawyers</w:t>
            </w:r>
          </w:p>
        </w:tc>
        <w:tc>
          <w:tcPr>
            <w:tcW w:w="1218" w:type="dxa"/>
            <w:tcBorders>
              <w:top w:val="single" w:sz="4" w:space="0" w:color="auto"/>
              <w:left w:val="single" w:sz="4" w:space="0" w:color="auto"/>
              <w:bottom w:val="single" w:sz="4" w:space="0" w:color="auto"/>
              <w:right w:val="single" w:sz="4" w:space="0" w:color="auto"/>
            </w:tcBorders>
            <w:vAlign w:val="bottom"/>
          </w:tcPr>
          <w:p w14:paraId="3B7B081D" w14:textId="77777777" w:rsidR="00D55B26" w:rsidRPr="0093531D" w:rsidRDefault="00E13F67" w:rsidP="00C24955">
            <w:pPr>
              <w:rPr>
                <w:sz w:val="20"/>
                <w:szCs w:val="20"/>
              </w:rPr>
            </w:pPr>
            <w:r>
              <w:rPr>
                <w:sz w:val="20"/>
                <w:szCs w:val="20"/>
              </w:rPr>
              <w:t>-</w:t>
            </w:r>
            <w:r w:rsidR="00D55B26" w:rsidRPr="0093531D">
              <w:rPr>
                <w:sz w:val="20"/>
                <w:szCs w:val="20"/>
              </w:rPr>
              <w:t>0.885***</w:t>
            </w:r>
          </w:p>
        </w:tc>
        <w:tc>
          <w:tcPr>
            <w:tcW w:w="1073" w:type="dxa"/>
            <w:tcBorders>
              <w:top w:val="single" w:sz="4" w:space="0" w:color="auto"/>
              <w:left w:val="single" w:sz="4" w:space="0" w:color="auto"/>
              <w:bottom w:val="single" w:sz="4" w:space="0" w:color="auto"/>
              <w:right w:val="single" w:sz="4" w:space="0" w:color="auto"/>
            </w:tcBorders>
            <w:noWrap/>
            <w:vAlign w:val="bottom"/>
          </w:tcPr>
          <w:p w14:paraId="79F3202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-1.326***</w:t>
            </w:r>
          </w:p>
        </w:tc>
        <w:tc>
          <w:tcPr>
            <w:tcW w:w="1304" w:type="dxa"/>
            <w:tcBorders>
              <w:top w:val="single" w:sz="4" w:space="0" w:color="auto"/>
              <w:left w:val="single" w:sz="4" w:space="0" w:color="auto"/>
              <w:bottom w:val="single" w:sz="4" w:space="0" w:color="auto"/>
              <w:right w:val="single" w:sz="4" w:space="0" w:color="auto"/>
            </w:tcBorders>
            <w:noWrap/>
            <w:vAlign w:val="bottom"/>
          </w:tcPr>
          <w:p w14:paraId="7F24FC9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-1.858***</w:t>
            </w:r>
          </w:p>
        </w:tc>
        <w:tc>
          <w:tcPr>
            <w:tcW w:w="1169" w:type="dxa"/>
            <w:tcBorders>
              <w:top w:val="single" w:sz="4" w:space="0" w:color="auto"/>
              <w:left w:val="single" w:sz="4" w:space="0" w:color="auto"/>
              <w:bottom w:val="single" w:sz="4" w:space="0" w:color="auto"/>
              <w:right w:val="single" w:sz="4" w:space="0" w:color="auto"/>
            </w:tcBorders>
            <w:noWrap/>
            <w:vAlign w:val="bottom"/>
          </w:tcPr>
          <w:p w14:paraId="48FAFBE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-1.121**</w:t>
            </w:r>
          </w:p>
        </w:tc>
        <w:tc>
          <w:tcPr>
            <w:tcW w:w="1389" w:type="dxa"/>
            <w:tcBorders>
              <w:top w:val="single" w:sz="4" w:space="0" w:color="auto"/>
              <w:left w:val="single" w:sz="4" w:space="0" w:color="auto"/>
              <w:bottom w:val="single" w:sz="4" w:space="0" w:color="auto"/>
              <w:right w:val="single" w:sz="4" w:space="0" w:color="auto"/>
            </w:tcBorders>
            <w:noWrap/>
            <w:vAlign w:val="bottom"/>
          </w:tcPr>
          <w:p w14:paraId="5F9EBF0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-1.058*</w:t>
            </w:r>
          </w:p>
        </w:tc>
      </w:tr>
      <w:tr w:rsidR="00D55B26" w:rsidRPr="00C16329" w14:paraId="3A8A2AEE"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505EB9C5"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5D098F16" w14:textId="77777777" w:rsidR="00D55B26" w:rsidRPr="0093531D" w:rsidRDefault="00D55B26" w:rsidP="00C24955">
            <w:pPr>
              <w:jc w:val="center"/>
              <w:rPr>
                <w:sz w:val="20"/>
                <w:szCs w:val="20"/>
              </w:rPr>
            </w:pPr>
            <w:r w:rsidRPr="0093531D">
              <w:rPr>
                <w:sz w:val="20"/>
                <w:szCs w:val="20"/>
              </w:rPr>
              <w:t>(0.173)</w:t>
            </w:r>
          </w:p>
        </w:tc>
        <w:tc>
          <w:tcPr>
            <w:tcW w:w="1073" w:type="dxa"/>
            <w:tcBorders>
              <w:top w:val="single" w:sz="4" w:space="0" w:color="auto"/>
              <w:left w:val="single" w:sz="4" w:space="0" w:color="auto"/>
              <w:bottom w:val="single" w:sz="4" w:space="0" w:color="auto"/>
              <w:right w:val="single" w:sz="4" w:space="0" w:color="auto"/>
            </w:tcBorders>
            <w:noWrap/>
            <w:vAlign w:val="bottom"/>
          </w:tcPr>
          <w:p w14:paraId="52C314A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(0.305)</w:t>
            </w:r>
          </w:p>
        </w:tc>
        <w:tc>
          <w:tcPr>
            <w:tcW w:w="1304" w:type="dxa"/>
            <w:tcBorders>
              <w:top w:val="single" w:sz="4" w:space="0" w:color="auto"/>
              <w:left w:val="single" w:sz="4" w:space="0" w:color="auto"/>
              <w:bottom w:val="single" w:sz="4" w:space="0" w:color="auto"/>
              <w:right w:val="single" w:sz="4" w:space="0" w:color="auto"/>
            </w:tcBorders>
            <w:noWrap/>
            <w:vAlign w:val="bottom"/>
          </w:tcPr>
          <w:p w14:paraId="20FB7C4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(0.617)</w:t>
            </w:r>
          </w:p>
        </w:tc>
        <w:tc>
          <w:tcPr>
            <w:tcW w:w="1169" w:type="dxa"/>
            <w:tcBorders>
              <w:top w:val="single" w:sz="4" w:space="0" w:color="auto"/>
              <w:left w:val="single" w:sz="4" w:space="0" w:color="auto"/>
              <w:bottom w:val="single" w:sz="4" w:space="0" w:color="auto"/>
              <w:right w:val="single" w:sz="4" w:space="0" w:color="auto"/>
            </w:tcBorders>
            <w:noWrap/>
            <w:vAlign w:val="bottom"/>
          </w:tcPr>
          <w:p w14:paraId="6ADC233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(0.450)</w:t>
            </w:r>
          </w:p>
        </w:tc>
        <w:tc>
          <w:tcPr>
            <w:tcW w:w="1389" w:type="dxa"/>
            <w:tcBorders>
              <w:top w:val="single" w:sz="4" w:space="0" w:color="auto"/>
              <w:left w:val="single" w:sz="4" w:space="0" w:color="auto"/>
              <w:bottom w:val="single" w:sz="4" w:space="0" w:color="auto"/>
              <w:right w:val="single" w:sz="4" w:space="0" w:color="auto"/>
            </w:tcBorders>
            <w:noWrap/>
            <w:vAlign w:val="bottom"/>
          </w:tcPr>
          <w:p w14:paraId="1A40946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(0.578)</w:t>
            </w:r>
          </w:p>
        </w:tc>
      </w:tr>
      <w:tr w:rsidR="00D55B26" w:rsidRPr="00C16329" w14:paraId="7EE08942"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19DBB6F"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$20 million</w:t>
            </w:r>
          </w:p>
        </w:tc>
        <w:tc>
          <w:tcPr>
            <w:tcW w:w="1218" w:type="dxa"/>
            <w:tcBorders>
              <w:top w:val="single" w:sz="4" w:space="0" w:color="auto"/>
              <w:left w:val="single" w:sz="4" w:space="0" w:color="auto"/>
              <w:bottom w:val="single" w:sz="4" w:space="0" w:color="auto"/>
              <w:right w:val="single" w:sz="4" w:space="0" w:color="auto"/>
            </w:tcBorders>
            <w:vAlign w:val="bottom"/>
          </w:tcPr>
          <w:p w14:paraId="7B2C7C65" w14:textId="77777777" w:rsidR="00D55B26" w:rsidRPr="0093531D" w:rsidRDefault="00D55B26" w:rsidP="00C24955">
            <w:pPr>
              <w:jc w:val="center"/>
              <w:rPr>
                <w:sz w:val="20"/>
                <w:szCs w:val="20"/>
              </w:rPr>
            </w:pPr>
            <w:r w:rsidRPr="0093531D">
              <w:rPr>
                <w:sz w:val="20"/>
                <w:szCs w:val="20"/>
              </w:rPr>
              <w:t>-0.0230</w:t>
            </w:r>
          </w:p>
        </w:tc>
        <w:tc>
          <w:tcPr>
            <w:tcW w:w="1073" w:type="dxa"/>
            <w:tcBorders>
              <w:top w:val="single" w:sz="4" w:space="0" w:color="auto"/>
              <w:left w:val="single" w:sz="4" w:space="0" w:color="auto"/>
              <w:bottom w:val="single" w:sz="4" w:space="0" w:color="auto"/>
              <w:right w:val="single" w:sz="4" w:space="0" w:color="auto"/>
            </w:tcBorders>
            <w:noWrap/>
            <w:vAlign w:val="bottom"/>
          </w:tcPr>
          <w:p w14:paraId="74AD1E2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-0.0459</w:t>
            </w:r>
          </w:p>
        </w:tc>
        <w:tc>
          <w:tcPr>
            <w:tcW w:w="1304" w:type="dxa"/>
            <w:tcBorders>
              <w:top w:val="single" w:sz="4" w:space="0" w:color="auto"/>
              <w:left w:val="single" w:sz="4" w:space="0" w:color="auto"/>
              <w:bottom w:val="single" w:sz="4" w:space="0" w:color="auto"/>
              <w:right w:val="single" w:sz="4" w:space="0" w:color="auto"/>
            </w:tcBorders>
            <w:noWrap/>
            <w:vAlign w:val="bottom"/>
          </w:tcPr>
          <w:p w14:paraId="306BD5B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-0.158</w:t>
            </w:r>
          </w:p>
        </w:tc>
        <w:tc>
          <w:tcPr>
            <w:tcW w:w="1169" w:type="dxa"/>
            <w:tcBorders>
              <w:top w:val="single" w:sz="4" w:space="0" w:color="auto"/>
              <w:left w:val="single" w:sz="4" w:space="0" w:color="auto"/>
              <w:bottom w:val="single" w:sz="4" w:space="0" w:color="auto"/>
              <w:right w:val="single" w:sz="4" w:space="0" w:color="auto"/>
            </w:tcBorders>
            <w:noWrap/>
            <w:vAlign w:val="bottom"/>
          </w:tcPr>
          <w:p w14:paraId="33F2322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0.00167</w:t>
            </w:r>
          </w:p>
        </w:tc>
        <w:tc>
          <w:tcPr>
            <w:tcW w:w="1389" w:type="dxa"/>
            <w:tcBorders>
              <w:top w:val="single" w:sz="4" w:space="0" w:color="auto"/>
              <w:left w:val="single" w:sz="4" w:space="0" w:color="auto"/>
              <w:bottom w:val="single" w:sz="4" w:space="0" w:color="auto"/>
              <w:right w:val="single" w:sz="4" w:space="0" w:color="auto"/>
            </w:tcBorders>
            <w:noWrap/>
            <w:vAlign w:val="bottom"/>
          </w:tcPr>
          <w:p w14:paraId="6D7A10B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-0.113</w:t>
            </w:r>
          </w:p>
        </w:tc>
      </w:tr>
      <w:tr w:rsidR="00D55B26" w:rsidRPr="00C16329" w14:paraId="3F9E833C"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06FE9327"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6F60017A" w14:textId="77777777" w:rsidR="00D55B26" w:rsidRPr="0093531D" w:rsidRDefault="00D55B26" w:rsidP="00C24955">
            <w:pPr>
              <w:jc w:val="center"/>
              <w:rPr>
                <w:sz w:val="20"/>
                <w:szCs w:val="20"/>
              </w:rPr>
            </w:pPr>
            <w:r w:rsidRPr="0093531D">
              <w:rPr>
                <w:sz w:val="20"/>
                <w:szCs w:val="20"/>
              </w:rPr>
              <w:t>(0.139)</w:t>
            </w:r>
          </w:p>
        </w:tc>
        <w:tc>
          <w:tcPr>
            <w:tcW w:w="1073" w:type="dxa"/>
            <w:tcBorders>
              <w:top w:val="single" w:sz="4" w:space="0" w:color="auto"/>
              <w:left w:val="single" w:sz="4" w:space="0" w:color="auto"/>
              <w:bottom w:val="single" w:sz="4" w:space="0" w:color="auto"/>
              <w:right w:val="single" w:sz="4" w:space="0" w:color="auto"/>
            </w:tcBorders>
            <w:noWrap/>
            <w:vAlign w:val="bottom"/>
          </w:tcPr>
          <w:p w14:paraId="51259C0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(0.148)</w:t>
            </w:r>
          </w:p>
        </w:tc>
        <w:tc>
          <w:tcPr>
            <w:tcW w:w="1304" w:type="dxa"/>
            <w:tcBorders>
              <w:top w:val="single" w:sz="4" w:space="0" w:color="auto"/>
              <w:left w:val="single" w:sz="4" w:space="0" w:color="auto"/>
              <w:bottom w:val="single" w:sz="4" w:space="0" w:color="auto"/>
              <w:right w:val="single" w:sz="4" w:space="0" w:color="auto"/>
            </w:tcBorders>
            <w:noWrap/>
            <w:vAlign w:val="bottom"/>
          </w:tcPr>
          <w:p w14:paraId="2ADEC7C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(0.284)</w:t>
            </w:r>
          </w:p>
        </w:tc>
        <w:tc>
          <w:tcPr>
            <w:tcW w:w="1169" w:type="dxa"/>
            <w:tcBorders>
              <w:top w:val="single" w:sz="4" w:space="0" w:color="auto"/>
              <w:left w:val="single" w:sz="4" w:space="0" w:color="auto"/>
              <w:bottom w:val="single" w:sz="4" w:space="0" w:color="auto"/>
              <w:right w:val="single" w:sz="4" w:space="0" w:color="auto"/>
            </w:tcBorders>
            <w:noWrap/>
            <w:vAlign w:val="bottom"/>
          </w:tcPr>
          <w:p w14:paraId="3FA2E8F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(0.229)</w:t>
            </w:r>
          </w:p>
        </w:tc>
        <w:tc>
          <w:tcPr>
            <w:tcW w:w="1389" w:type="dxa"/>
            <w:tcBorders>
              <w:top w:val="single" w:sz="4" w:space="0" w:color="auto"/>
              <w:left w:val="single" w:sz="4" w:space="0" w:color="auto"/>
              <w:bottom w:val="single" w:sz="4" w:space="0" w:color="auto"/>
              <w:right w:val="single" w:sz="4" w:space="0" w:color="auto"/>
            </w:tcBorders>
            <w:noWrap/>
            <w:vAlign w:val="bottom"/>
          </w:tcPr>
          <w:p w14:paraId="67D05D7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(0.271)</w:t>
            </w:r>
          </w:p>
        </w:tc>
      </w:tr>
      <w:tr w:rsidR="00D55B26" w:rsidRPr="00C16329" w14:paraId="141D3A94"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F1D68F1"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Republican candidate</w:t>
            </w:r>
          </w:p>
        </w:tc>
        <w:tc>
          <w:tcPr>
            <w:tcW w:w="1218" w:type="dxa"/>
            <w:tcBorders>
              <w:top w:val="single" w:sz="4" w:space="0" w:color="auto"/>
              <w:left w:val="single" w:sz="4" w:space="0" w:color="auto"/>
              <w:bottom w:val="single" w:sz="4" w:space="0" w:color="auto"/>
              <w:right w:val="single" w:sz="4" w:space="0" w:color="auto"/>
            </w:tcBorders>
            <w:vAlign w:val="bottom"/>
          </w:tcPr>
          <w:p w14:paraId="664FBEB7" w14:textId="77777777" w:rsidR="00D55B26" w:rsidRPr="0093531D" w:rsidRDefault="00D55B26" w:rsidP="00C24955">
            <w:pPr>
              <w:jc w:val="center"/>
              <w:rPr>
                <w:sz w:val="20"/>
                <w:szCs w:val="20"/>
              </w:rPr>
            </w:pPr>
            <w:r w:rsidRPr="0093531D">
              <w:rPr>
                <w:sz w:val="20"/>
                <w:szCs w:val="20"/>
              </w:rPr>
              <w:t>0.486***</w:t>
            </w:r>
          </w:p>
        </w:tc>
        <w:tc>
          <w:tcPr>
            <w:tcW w:w="1073" w:type="dxa"/>
            <w:tcBorders>
              <w:top w:val="single" w:sz="4" w:space="0" w:color="auto"/>
              <w:left w:val="single" w:sz="4" w:space="0" w:color="auto"/>
              <w:bottom w:val="single" w:sz="4" w:space="0" w:color="auto"/>
              <w:right w:val="single" w:sz="4" w:space="0" w:color="auto"/>
            </w:tcBorders>
            <w:noWrap/>
            <w:vAlign w:val="bottom"/>
          </w:tcPr>
          <w:p w14:paraId="1C54522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-0.391</w:t>
            </w:r>
          </w:p>
        </w:tc>
        <w:tc>
          <w:tcPr>
            <w:tcW w:w="1304" w:type="dxa"/>
            <w:tcBorders>
              <w:top w:val="single" w:sz="4" w:space="0" w:color="auto"/>
              <w:left w:val="single" w:sz="4" w:space="0" w:color="auto"/>
              <w:bottom w:val="single" w:sz="4" w:space="0" w:color="auto"/>
              <w:right w:val="single" w:sz="4" w:space="0" w:color="auto"/>
            </w:tcBorders>
            <w:noWrap/>
            <w:vAlign w:val="bottom"/>
          </w:tcPr>
          <w:p w14:paraId="69E0ED5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1.364**</w:t>
            </w:r>
          </w:p>
        </w:tc>
        <w:tc>
          <w:tcPr>
            <w:tcW w:w="1169" w:type="dxa"/>
            <w:tcBorders>
              <w:top w:val="single" w:sz="4" w:space="0" w:color="auto"/>
              <w:left w:val="single" w:sz="4" w:space="0" w:color="auto"/>
              <w:bottom w:val="single" w:sz="4" w:space="0" w:color="auto"/>
              <w:right w:val="single" w:sz="4" w:space="0" w:color="auto"/>
            </w:tcBorders>
            <w:noWrap/>
            <w:vAlign w:val="bottom"/>
          </w:tcPr>
          <w:p w14:paraId="74FF46B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-1.947***</w:t>
            </w:r>
          </w:p>
        </w:tc>
        <w:tc>
          <w:tcPr>
            <w:tcW w:w="1389" w:type="dxa"/>
            <w:tcBorders>
              <w:top w:val="single" w:sz="4" w:space="0" w:color="auto"/>
              <w:left w:val="single" w:sz="4" w:space="0" w:color="auto"/>
              <w:bottom w:val="single" w:sz="4" w:space="0" w:color="auto"/>
              <w:right w:val="single" w:sz="4" w:space="0" w:color="auto"/>
            </w:tcBorders>
            <w:noWrap/>
            <w:vAlign w:val="bottom"/>
          </w:tcPr>
          <w:p w14:paraId="0049390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-0.477</w:t>
            </w:r>
          </w:p>
        </w:tc>
      </w:tr>
      <w:tr w:rsidR="00D55B26" w:rsidRPr="00C16329" w14:paraId="6F7544F2"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405CF75D"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498A8A73" w14:textId="77777777" w:rsidR="00D55B26" w:rsidRPr="0093531D" w:rsidRDefault="00D55B26" w:rsidP="00C24955">
            <w:pPr>
              <w:jc w:val="center"/>
              <w:rPr>
                <w:sz w:val="20"/>
                <w:szCs w:val="20"/>
              </w:rPr>
            </w:pPr>
            <w:r w:rsidRPr="0093531D">
              <w:rPr>
                <w:sz w:val="20"/>
                <w:szCs w:val="20"/>
              </w:rPr>
              <w:t>(0.170)</w:t>
            </w:r>
          </w:p>
        </w:tc>
        <w:tc>
          <w:tcPr>
            <w:tcW w:w="1073" w:type="dxa"/>
            <w:tcBorders>
              <w:top w:val="single" w:sz="4" w:space="0" w:color="auto"/>
              <w:left w:val="single" w:sz="4" w:space="0" w:color="auto"/>
              <w:bottom w:val="single" w:sz="4" w:space="0" w:color="auto"/>
              <w:right w:val="single" w:sz="4" w:space="0" w:color="auto"/>
            </w:tcBorders>
            <w:noWrap/>
            <w:vAlign w:val="bottom"/>
          </w:tcPr>
          <w:p w14:paraId="62EE3DC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(0.309)</w:t>
            </w:r>
          </w:p>
        </w:tc>
        <w:tc>
          <w:tcPr>
            <w:tcW w:w="1304" w:type="dxa"/>
            <w:tcBorders>
              <w:top w:val="single" w:sz="4" w:space="0" w:color="auto"/>
              <w:left w:val="single" w:sz="4" w:space="0" w:color="auto"/>
              <w:bottom w:val="single" w:sz="4" w:space="0" w:color="auto"/>
              <w:right w:val="single" w:sz="4" w:space="0" w:color="auto"/>
            </w:tcBorders>
            <w:noWrap/>
            <w:vAlign w:val="bottom"/>
          </w:tcPr>
          <w:p w14:paraId="68C42F7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(0.611)</w:t>
            </w:r>
          </w:p>
        </w:tc>
        <w:tc>
          <w:tcPr>
            <w:tcW w:w="1169" w:type="dxa"/>
            <w:tcBorders>
              <w:top w:val="single" w:sz="4" w:space="0" w:color="auto"/>
              <w:left w:val="single" w:sz="4" w:space="0" w:color="auto"/>
              <w:bottom w:val="single" w:sz="4" w:space="0" w:color="auto"/>
              <w:right w:val="single" w:sz="4" w:space="0" w:color="auto"/>
            </w:tcBorders>
            <w:noWrap/>
            <w:vAlign w:val="bottom"/>
          </w:tcPr>
          <w:p w14:paraId="495DC8F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(0.465)</w:t>
            </w:r>
          </w:p>
        </w:tc>
        <w:tc>
          <w:tcPr>
            <w:tcW w:w="1389" w:type="dxa"/>
            <w:tcBorders>
              <w:top w:val="single" w:sz="4" w:space="0" w:color="auto"/>
              <w:left w:val="single" w:sz="4" w:space="0" w:color="auto"/>
              <w:bottom w:val="single" w:sz="4" w:space="0" w:color="auto"/>
              <w:right w:val="single" w:sz="4" w:space="0" w:color="auto"/>
            </w:tcBorders>
            <w:noWrap/>
            <w:vAlign w:val="bottom"/>
          </w:tcPr>
          <w:p w14:paraId="2DF3725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(0.586)</w:t>
            </w:r>
          </w:p>
        </w:tc>
      </w:tr>
      <w:tr w:rsidR="00D55B26" w:rsidRPr="00C16329" w14:paraId="2FA4EA65"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00E2E89C"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Democratic candidate</w:t>
            </w:r>
          </w:p>
        </w:tc>
        <w:tc>
          <w:tcPr>
            <w:tcW w:w="1218" w:type="dxa"/>
            <w:tcBorders>
              <w:top w:val="single" w:sz="4" w:space="0" w:color="auto"/>
              <w:left w:val="single" w:sz="4" w:space="0" w:color="auto"/>
              <w:bottom w:val="single" w:sz="4" w:space="0" w:color="auto"/>
              <w:right w:val="single" w:sz="4" w:space="0" w:color="auto"/>
            </w:tcBorders>
            <w:vAlign w:val="bottom"/>
          </w:tcPr>
          <w:p w14:paraId="1C026358" w14:textId="77777777" w:rsidR="00D55B26" w:rsidRPr="0093531D" w:rsidRDefault="00D55B26" w:rsidP="00C24955">
            <w:pPr>
              <w:jc w:val="center"/>
              <w:rPr>
                <w:sz w:val="20"/>
                <w:szCs w:val="20"/>
              </w:rPr>
            </w:pPr>
            <w:r w:rsidRPr="0093531D">
              <w:rPr>
                <w:sz w:val="20"/>
                <w:szCs w:val="20"/>
              </w:rPr>
              <w:t>-0.0230</w:t>
            </w:r>
          </w:p>
        </w:tc>
        <w:tc>
          <w:tcPr>
            <w:tcW w:w="1073" w:type="dxa"/>
            <w:tcBorders>
              <w:top w:val="single" w:sz="4" w:space="0" w:color="auto"/>
              <w:left w:val="single" w:sz="4" w:space="0" w:color="auto"/>
              <w:bottom w:val="single" w:sz="4" w:space="0" w:color="auto"/>
              <w:right w:val="single" w:sz="4" w:space="0" w:color="auto"/>
            </w:tcBorders>
            <w:noWrap/>
            <w:vAlign w:val="bottom"/>
          </w:tcPr>
          <w:p w14:paraId="22A9E31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-0.688**</w:t>
            </w:r>
          </w:p>
        </w:tc>
        <w:tc>
          <w:tcPr>
            <w:tcW w:w="1304" w:type="dxa"/>
            <w:tcBorders>
              <w:top w:val="single" w:sz="4" w:space="0" w:color="auto"/>
              <w:left w:val="single" w:sz="4" w:space="0" w:color="auto"/>
              <w:bottom w:val="single" w:sz="4" w:space="0" w:color="auto"/>
              <w:right w:val="single" w:sz="4" w:space="0" w:color="auto"/>
            </w:tcBorders>
            <w:noWrap/>
            <w:vAlign w:val="bottom"/>
          </w:tcPr>
          <w:p w14:paraId="6A78B5B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-2.249***</w:t>
            </w:r>
          </w:p>
        </w:tc>
        <w:tc>
          <w:tcPr>
            <w:tcW w:w="1169" w:type="dxa"/>
            <w:tcBorders>
              <w:top w:val="single" w:sz="4" w:space="0" w:color="auto"/>
              <w:left w:val="single" w:sz="4" w:space="0" w:color="auto"/>
              <w:bottom w:val="single" w:sz="4" w:space="0" w:color="auto"/>
              <w:right w:val="single" w:sz="4" w:space="0" w:color="auto"/>
            </w:tcBorders>
            <w:noWrap/>
            <w:vAlign w:val="bottom"/>
          </w:tcPr>
          <w:p w14:paraId="33E007F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0.719</w:t>
            </w:r>
          </w:p>
        </w:tc>
        <w:tc>
          <w:tcPr>
            <w:tcW w:w="1389" w:type="dxa"/>
            <w:tcBorders>
              <w:top w:val="single" w:sz="4" w:space="0" w:color="auto"/>
              <w:left w:val="single" w:sz="4" w:space="0" w:color="auto"/>
              <w:bottom w:val="single" w:sz="4" w:space="0" w:color="auto"/>
              <w:right w:val="single" w:sz="4" w:space="0" w:color="auto"/>
            </w:tcBorders>
            <w:noWrap/>
            <w:vAlign w:val="bottom"/>
          </w:tcPr>
          <w:p w14:paraId="349E1553"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-0.663</w:t>
            </w:r>
          </w:p>
        </w:tc>
      </w:tr>
      <w:tr w:rsidR="00D55B26" w:rsidRPr="00C16329" w14:paraId="7B7E6ED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4C0E4FA"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571D452D" w14:textId="77777777" w:rsidR="00D55B26" w:rsidRPr="0093531D" w:rsidRDefault="00D55B26" w:rsidP="00C24955">
            <w:pPr>
              <w:jc w:val="center"/>
              <w:rPr>
                <w:sz w:val="20"/>
                <w:szCs w:val="20"/>
              </w:rPr>
            </w:pPr>
            <w:r w:rsidRPr="0093531D">
              <w:rPr>
                <w:sz w:val="20"/>
                <w:szCs w:val="20"/>
              </w:rPr>
              <w:t>(0.139)</w:t>
            </w:r>
          </w:p>
        </w:tc>
        <w:tc>
          <w:tcPr>
            <w:tcW w:w="1073" w:type="dxa"/>
            <w:tcBorders>
              <w:top w:val="single" w:sz="4" w:space="0" w:color="auto"/>
              <w:left w:val="single" w:sz="4" w:space="0" w:color="auto"/>
              <w:bottom w:val="single" w:sz="4" w:space="0" w:color="auto"/>
              <w:right w:val="single" w:sz="4" w:space="0" w:color="auto"/>
            </w:tcBorders>
            <w:noWrap/>
            <w:vAlign w:val="bottom"/>
          </w:tcPr>
          <w:p w14:paraId="18F3C0F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(0.308)</w:t>
            </w:r>
          </w:p>
        </w:tc>
        <w:tc>
          <w:tcPr>
            <w:tcW w:w="1304" w:type="dxa"/>
            <w:tcBorders>
              <w:top w:val="single" w:sz="4" w:space="0" w:color="auto"/>
              <w:left w:val="single" w:sz="4" w:space="0" w:color="auto"/>
              <w:bottom w:val="single" w:sz="4" w:space="0" w:color="auto"/>
              <w:right w:val="single" w:sz="4" w:space="0" w:color="auto"/>
            </w:tcBorders>
            <w:noWrap/>
            <w:vAlign w:val="bottom"/>
          </w:tcPr>
          <w:p w14:paraId="5A3D9F1D"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(0.599)</w:t>
            </w:r>
          </w:p>
        </w:tc>
        <w:tc>
          <w:tcPr>
            <w:tcW w:w="1169" w:type="dxa"/>
            <w:tcBorders>
              <w:top w:val="single" w:sz="4" w:space="0" w:color="auto"/>
              <w:left w:val="single" w:sz="4" w:space="0" w:color="auto"/>
              <w:bottom w:val="single" w:sz="4" w:space="0" w:color="auto"/>
              <w:right w:val="single" w:sz="4" w:space="0" w:color="auto"/>
            </w:tcBorders>
            <w:noWrap/>
            <w:vAlign w:val="bottom"/>
          </w:tcPr>
          <w:p w14:paraId="090DF2E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(0.449)</w:t>
            </w:r>
          </w:p>
        </w:tc>
        <w:tc>
          <w:tcPr>
            <w:tcW w:w="1389" w:type="dxa"/>
            <w:tcBorders>
              <w:top w:val="single" w:sz="4" w:space="0" w:color="auto"/>
              <w:left w:val="single" w:sz="4" w:space="0" w:color="auto"/>
              <w:bottom w:val="single" w:sz="4" w:space="0" w:color="auto"/>
              <w:right w:val="single" w:sz="4" w:space="0" w:color="auto"/>
            </w:tcBorders>
            <w:noWrap/>
            <w:vAlign w:val="bottom"/>
          </w:tcPr>
          <w:p w14:paraId="772C59D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(0.630)</w:t>
            </w:r>
          </w:p>
        </w:tc>
      </w:tr>
      <w:tr w:rsidR="00D55B26" w:rsidRPr="00C16329" w14:paraId="7FD10BC4"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C6FAFC9"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Tobacco X Republican</w:t>
            </w:r>
          </w:p>
        </w:tc>
        <w:tc>
          <w:tcPr>
            <w:tcW w:w="1218" w:type="dxa"/>
            <w:tcBorders>
              <w:top w:val="single" w:sz="4" w:space="0" w:color="auto"/>
              <w:left w:val="single" w:sz="4" w:space="0" w:color="auto"/>
              <w:bottom w:val="single" w:sz="4" w:space="0" w:color="auto"/>
              <w:right w:val="single" w:sz="4" w:space="0" w:color="auto"/>
            </w:tcBorders>
            <w:vAlign w:val="bottom"/>
          </w:tcPr>
          <w:p w14:paraId="23B77EF9"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518EDED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1.725***</w:t>
            </w:r>
          </w:p>
        </w:tc>
        <w:tc>
          <w:tcPr>
            <w:tcW w:w="1304" w:type="dxa"/>
            <w:tcBorders>
              <w:top w:val="single" w:sz="4" w:space="0" w:color="auto"/>
              <w:left w:val="single" w:sz="4" w:space="0" w:color="auto"/>
              <w:bottom w:val="single" w:sz="4" w:space="0" w:color="auto"/>
              <w:right w:val="single" w:sz="4" w:space="0" w:color="auto"/>
            </w:tcBorders>
            <w:noWrap/>
            <w:vAlign w:val="bottom"/>
          </w:tcPr>
          <w:p w14:paraId="7107A36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0.750</w:t>
            </w:r>
          </w:p>
        </w:tc>
        <w:tc>
          <w:tcPr>
            <w:tcW w:w="1169" w:type="dxa"/>
            <w:tcBorders>
              <w:top w:val="single" w:sz="4" w:space="0" w:color="auto"/>
              <w:left w:val="single" w:sz="4" w:space="0" w:color="auto"/>
              <w:bottom w:val="single" w:sz="4" w:space="0" w:color="auto"/>
              <w:right w:val="single" w:sz="4" w:space="0" w:color="auto"/>
            </w:tcBorders>
            <w:noWrap/>
            <w:vAlign w:val="bottom"/>
          </w:tcPr>
          <w:p w14:paraId="4D14F40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2.111***</w:t>
            </w:r>
          </w:p>
        </w:tc>
        <w:tc>
          <w:tcPr>
            <w:tcW w:w="1389" w:type="dxa"/>
            <w:tcBorders>
              <w:top w:val="single" w:sz="4" w:space="0" w:color="auto"/>
              <w:left w:val="single" w:sz="4" w:space="0" w:color="auto"/>
              <w:bottom w:val="single" w:sz="4" w:space="0" w:color="auto"/>
              <w:right w:val="single" w:sz="4" w:space="0" w:color="auto"/>
            </w:tcBorders>
            <w:noWrap/>
            <w:vAlign w:val="bottom"/>
          </w:tcPr>
          <w:p w14:paraId="37E24DD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1.825**</w:t>
            </w:r>
          </w:p>
        </w:tc>
      </w:tr>
      <w:tr w:rsidR="00D55B26" w:rsidRPr="00C16329" w14:paraId="15897252"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1BD562B"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279F5BC1"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278FD46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(0.421)</w:t>
            </w:r>
          </w:p>
        </w:tc>
        <w:tc>
          <w:tcPr>
            <w:tcW w:w="1304" w:type="dxa"/>
            <w:tcBorders>
              <w:top w:val="single" w:sz="4" w:space="0" w:color="auto"/>
              <w:left w:val="single" w:sz="4" w:space="0" w:color="auto"/>
              <w:bottom w:val="single" w:sz="4" w:space="0" w:color="auto"/>
              <w:right w:val="single" w:sz="4" w:space="0" w:color="auto"/>
            </w:tcBorders>
            <w:noWrap/>
            <w:vAlign w:val="bottom"/>
          </w:tcPr>
          <w:p w14:paraId="53D5473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(0.811)</w:t>
            </w:r>
          </w:p>
        </w:tc>
        <w:tc>
          <w:tcPr>
            <w:tcW w:w="1169" w:type="dxa"/>
            <w:tcBorders>
              <w:top w:val="single" w:sz="4" w:space="0" w:color="auto"/>
              <w:left w:val="single" w:sz="4" w:space="0" w:color="auto"/>
              <w:bottom w:val="single" w:sz="4" w:space="0" w:color="auto"/>
              <w:right w:val="single" w:sz="4" w:space="0" w:color="auto"/>
            </w:tcBorders>
            <w:noWrap/>
            <w:vAlign w:val="bottom"/>
          </w:tcPr>
          <w:p w14:paraId="3819FF3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(0.638)</w:t>
            </w:r>
          </w:p>
        </w:tc>
        <w:tc>
          <w:tcPr>
            <w:tcW w:w="1389" w:type="dxa"/>
            <w:tcBorders>
              <w:top w:val="single" w:sz="4" w:space="0" w:color="auto"/>
              <w:left w:val="single" w:sz="4" w:space="0" w:color="auto"/>
              <w:bottom w:val="single" w:sz="4" w:space="0" w:color="auto"/>
              <w:right w:val="single" w:sz="4" w:space="0" w:color="auto"/>
            </w:tcBorders>
            <w:noWrap/>
            <w:vAlign w:val="bottom"/>
          </w:tcPr>
          <w:p w14:paraId="5860D2F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(0.791)</w:t>
            </w:r>
          </w:p>
        </w:tc>
      </w:tr>
      <w:tr w:rsidR="00D55B26" w:rsidRPr="00C16329" w14:paraId="265C7D66"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54F3768D"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Tobacco X Democrat</w:t>
            </w:r>
          </w:p>
        </w:tc>
        <w:tc>
          <w:tcPr>
            <w:tcW w:w="1218" w:type="dxa"/>
            <w:tcBorders>
              <w:top w:val="single" w:sz="4" w:space="0" w:color="auto"/>
              <w:left w:val="single" w:sz="4" w:space="0" w:color="auto"/>
              <w:bottom w:val="single" w:sz="4" w:space="0" w:color="auto"/>
              <w:right w:val="single" w:sz="4" w:space="0" w:color="auto"/>
            </w:tcBorders>
            <w:vAlign w:val="bottom"/>
          </w:tcPr>
          <w:p w14:paraId="1B17D2FF"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7C0636F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0.797*</w:t>
            </w:r>
          </w:p>
        </w:tc>
        <w:tc>
          <w:tcPr>
            <w:tcW w:w="1304" w:type="dxa"/>
            <w:tcBorders>
              <w:top w:val="single" w:sz="4" w:space="0" w:color="auto"/>
              <w:left w:val="single" w:sz="4" w:space="0" w:color="auto"/>
              <w:bottom w:val="single" w:sz="4" w:space="0" w:color="auto"/>
              <w:right w:val="single" w:sz="4" w:space="0" w:color="auto"/>
            </w:tcBorders>
            <w:noWrap/>
            <w:vAlign w:val="bottom"/>
          </w:tcPr>
          <w:p w14:paraId="1577494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0.717</w:t>
            </w:r>
          </w:p>
        </w:tc>
        <w:tc>
          <w:tcPr>
            <w:tcW w:w="1169" w:type="dxa"/>
            <w:tcBorders>
              <w:top w:val="single" w:sz="4" w:space="0" w:color="auto"/>
              <w:left w:val="single" w:sz="4" w:space="0" w:color="auto"/>
              <w:bottom w:val="single" w:sz="4" w:space="0" w:color="auto"/>
              <w:right w:val="single" w:sz="4" w:space="0" w:color="auto"/>
            </w:tcBorders>
            <w:noWrap/>
            <w:vAlign w:val="bottom"/>
          </w:tcPr>
          <w:p w14:paraId="1C43987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0.802</w:t>
            </w:r>
          </w:p>
        </w:tc>
        <w:tc>
          <w:tcPr>
            <w:tcW w:w="1389" w:type="dxa"/>
            <w:tcBorders>
              <w:top w:val="single" w:sz="4" w:space="0" w:color="auto"/>
              <w:left w:val="single" w:sz="4" w:space="0" w:color="auto"/>
              <w:bottom w:val="single" w:sz="4" w:space="0" w:color="auto"/>
              <w:right w:val="single" w:sz="4" w:space="0" w:color="auto"/>
            </w:tcBorders>
            <w:noWrap/>
            <w:vAlign w:val="bottom"/>
          </w:tcPr>
          <w:p w14:paraId="683DCFD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0.668</w:t>
            </w:r>
          </w:p>
        </w:tc>
      </w:tr>
      <w:tr w:rsidR="00D55B26" w:rsidRPr="00C16329" w14:paraId="120A449A"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45436E4C"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46EB34F2"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485B11DD"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(0.423)</w:t>
            </w:r>
          </w:p>
        </w:tc>
        <w:tc>
          <w:tcPr>
            <w:tcW w:w="1304" w:type="dxa"/>
            <w:tcBorders>
              <w:top w:val="single" w:sz="4" w:space="0" w:color="auto"/>
              <w:left w:val="single" w:sz="4" w:space="0" w:color="auto"/>
              <w:bottom w:val="single" w:sz="4" w:space="0" w:color="auto"/>
              <w:right w:val="single" w:sz="4" w:space="0" w:color="auto"/>
            </w:tcBorders>
            <w:noWrap/>
            <w:vAlign w:val="bottom"/>
          </w:tcPr>
          <w:p w14:paraId="68C91EF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(0.821)</w:t>
            </w:r>
          </w:p>
        </w:tc>
        <w:tc>
          <w:tcPr>
            <w:tcW w:w="1169" w:type="dxa"/>
            <w:tcBorders>
              <w:top w:val="single" w:sz="4" w:space="0" w:color="auto"/>
              <w:left w:val="single" w:sz="4" w:space="0" w:color="auto"/>
              <w:bottom w:val="single" w:sz="4" w:space="0" w:color="auto"/>
              <w:right w:val="single" w:sz="4" w:space="0" w:color="auto"/>
            </w:tcBorders>
            <w:noWrap/>
            <w:vAlign w:val="bottom"/>
          </w:tcPr>
          <w:p w14:paraId="06B658E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(0.630)</w:t>
            </w:r>
          </w:p>
        </w:tc>
        <w:tc>
          <w:tcPr>
            <w:tcW w:w="1389" w:type="dxa"/>
            <w:tcBorders>
              <w:top w:val="single" w:sz="4" w:space="0" w:color="auto"/>
              <w:left w:val="single" w:sz="4" w:space="0" w:color="auto"/>
              <w:bottom w:val="single" w:sz="4" w:space="0" w:color="auto"/>
              <w:right w:val="single" w:sz="4" w:space="0" w:color="auto"/>
            </w:tcBorders>
            <w:noWrap/>
            <w:vAlign w:val="bottom"/>
          </w:tcPr>
          <w:p w14:paraId="1C7D67F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(0.821)</w:t>
            </w:r>
          </w:p>
        </w:tc>
      </w:tr>
      <w:tr w:rsidR="00D55B26" w:rsidRPr="00C16329" w14:paraId="21EE6276"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2EF68191"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Trial lawyer X Republican</w:t>
            </w:r>
          </w:p>
        </w:tc>
        <w:tc>
          <w:tcPr>
            <w:tcW w:w="1218" w:type="dxa"/>
            <w:tcBorders>
              <w:top w:val="single" w:sz="4" w:space="0" w:color="auto"/>
              <w:left w:val="single" w:sz="4" w:space="0" w:color="auto"/>
              <w:bottom w:val="single" w:sz="4" w:space="0" w:color="auto"/>
              <w:right w:val="single" w:sz="4" w:space="0" w:color="auto"/>
            </w:tcBorders>
            <w:vAlign w:val="bottom"/>
          </w:tcPr>
          <w:p w14:paraId="41D5654D"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329C1BB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0.785*</w:t>
            </w:r>
          </w:p>
        </w:tc>
        <w:tc>
          <w:tcPr>
            <w:tcW w:w="1304" w:type="dxa"/>
            <w:tcBorders>
              <w:top w:val="single" w:sz="4" w:space="0" w:color="auto"/>
              <w:left w:val="single" w:sz="4" w:space="0" w:color="auto"/>
              <w:bottom w:val="single" w:sz="4" w:space="0" w:color="auto"/>
              <w:right w:val="single" w:sz="4" w:space="0" w:color="auto"/>
            </w:tcBorders>
            <w:noWrap/>
            <w:vAlign w:val="bottom"/>
          </w:tcPr>
          <w:p w14:paraId="29DFB55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0.209</w:t>
            </w:r>
          </w:p>
        </w:tc>
        <w:tc>
          <w:tcPr>
            <w:tcW w:w="1169" w:type="dxa"/>
            <w:tcBorders>
              <w:top w:val="single" w:sz="4" w:space="0" w:color="auto"/>
              <w:left w:val="single" w:sz="4" w:space="0" w:color="auto"/>
              <w:bottom w:val="single" w:sz="4" w:space="0" w:color="auto"/>
              <w:right w:val="single" w:sz="4" w:space="0" w:color="auto"/>
            </w:tcBorders>
            <w:noWrap/>
            <w:vAlign w:val="bottom"/>
          </w:tcPr>
          <w:p w14:paraId="063C822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0.706</w:t>
            </w:r>
          </w:p>
        </w:tc>
        <w:tc>
          <w:tcPr>
            <w:tcW w:w="1389" w:type="dxa"/>
            <w:tcBorders>
              <w:top w:val="single" w:sz="4" w:space="0" w:color="auto"/>
              <w:left w:val="single" w:sz="4" w:space="0" w:color="auto"/>
              <w:bottom w:val="single" w:sz="4" w:space="0" w:color="auto"/>
              <w:right w:val="single" w:sz="4" w:space="0" w:color="auto"/>
            </w:tcBorders>
            <w:noWrap/>
            <w:vAlign w:val="bottom"/>
          </w:tcPr>
          <w:p w14:paraId="5A58F65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1.133</w:t>
            </w:r>
          </w:p>
        </w:tc>
      </w:tr>
      <w:tr w:rsidR="00D55B26" w:rsidRPr="00C16329" w14:paraId="5C887E9A"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514404F5"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397F1EC5"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5CCC376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(0.424)</w:t>
            </w:r>
          </w:p>
        </w:tc>
        <w:tc>
          <w:tcPr>
            <w:tcW w:w="1304" w:type="dxa"/>
            <w:tcBorders>
              <w:top w:val="single" w:sz="4" w:space="0" w:color="auto"/>
              <w:left w:val="single" w:sz="4" w:space="0" w:color="auto"/>
              <w:bottom w:val="single" w:sz="4" w:space="0" w:color="auto"/>
              <w:right w:val="single" w:sz="4" w:space="0" w:color="auto"/>
            </w:tcBorders>
            <w:noWrap/>
            <w:vAlign w:val="bottom"/>
          </w:tcPr>
          <w:p w14:paraId="2175F0A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(0.829)</w:t>
            </w:r>
          </w:p>
        </w:tc>
        <w:tc>
          <w:tcPr>
            <w:tcW w:w="1169" w:type="dxa"/>
            <w:tcBorders>
              <w:top w:val="single" w:sz="4" w:space="0" w:color="auto"/>
              <w:left w:val="single" w:sz="4" w:space="0" w:color="auto"/>
              <w:bottom w:val="single" w:sz="4" w:space="0" w:color="auto"/>
              <w:right w:val="single" w:sz="4" w:space="0" w:color="auto"/>
            </w:tcBorders>
            <w:noWrap/>
            <w:vAlign w:val="bottom"/>
          </w:tcPr>
          <w:p w14:paraId="449D79F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(0.662)</w:t>
            </w:r>
          </w:p>
        </w:tc>
        <w:tc>
          <w:tcPr>
            <w:tcW w:w="1389" w:type="dxa"/>
            <w:tcBorders>
              <w:top w:val="single" w:sz="4" w:space="0" w:color="auto"/>
              <w:left w:val="single" w:sz="4" w:space="0" w:color="auto"/>
              <w:bottom w:val="single" w:sz="4" w:space="0" w:color="auto"/>
              <w:right w:val="single" w:sz="4" w:space="0" w:color="auto"/>
            </w:tcBorders>
            <w:noWrap/>
            <w:vAlign w:val="bottom"/>
          </w:tcPr>
          <w:p w14:paraId="685D40B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(0.767)</w:t>
            </w:r>
          </w:p>
        </w:tc>
      </w:tr>
      <w:tr w:rsidR="00D55B26" w:rsidRPr="00C16329" w14:paraId="37899BC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7B6DB6C7"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Trial lawyer X Democrat</w:t>
            </w:r>
          </w:p>
        </w:tc>
        <w:tc>
          <w:tcPr>
            <w:tcW w:w="1218" w:type="dxa"/>
            <w:tcBorders>
              <w:top w:val="single" w:sz="4" w:space="0" w:color="auto"/>
              <w:left w:val="single" w:sz="4" w:space="0" w:color="auto"/>
              <w:bottom w:val="single" w:sz="4" w:space="0" w:color="auto"/>
              <w:right w:val="single" w:sz="4" w:space="0" w:color="auto"/>
            </w:tcBorders>
            <w:vAlign w:val="bottom"/>
          </w:tcPr>
          <w:p w14:paraId="3B09F285"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07A9A67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0.463</w:t>
            </w:r>
          </w:p>
        </w:tc>
        <w:tc>
          <w:tcPr>
            <w:tcW w:w="1304" w:type="dxa"/>
            <w:tcBorders>
              <w:top w:val="single" w:sz="4" w:space="0" w:color="auto"/>
              <w:left w:val="single" w:sz="4" w:space="0" w:color="auto"/>
              <w:bottom w:val="single" w:sz="4" w:space="0" w:color="auto"/>
              <w:right w:val="single" w:sz="4" w:space="0" w:color="auto"/>
            </w:tcBorders>
            <w:noWrap/>
            <w:vAlign w:val="bottom"/>
          </w:tcPr>
          <w:p w14:paraId="12640E6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2.069**</w:t>
            </w:r>
          </w:p>
        </w:tc>
        <w:tc>
          <w:tcPr>
            <w:tcW w:w="1169" w:type="dxa"/>
            <w:tcBorders>
              <w:top w:val="single" w:sz="4" w:space="0" w:color="auto"/>
              <w:left w:val="single" w:sz="4" w:space="0" w:color="auto"/>
              <w:bottom w:val="single" w:sz="4" w:space="0" w:color="auto"/>
              <w:right w:val="single" w:sz="4" w:space="0" w:color="auto"/>
            </w:tcBorders>
            <w:noWrap/>
            <w:vAlign w:val="bottom"/>
          </w:tcPr>
          <w:p w14:paraId="23886F5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-0.00662</w:t>
            </w:r>
          </w:p>
        </w:tc>
        <w:tc>
          <w:tcPr>
            <w:tcW w:w="1389" w:type="dxa"/>
            <w:tcBorders>
              <w:top w:val="single" w:sz="4" w:space="0" w:color="auto"/>
              <w:left w:val="single" w:sz="4" w:space="0" w:color="auto"/>
              <w:bottom w:val="single" w:sz="4" w:space="0" w:color="auto"/>
              <w:right w:val="single" w:sz="4" w:space="0" w:color="auto"/>
            </w:tcBorders>
            <w:noWrap/>
            <w:vAlign w:val="bottom"/>
          </w:tcPr>
          <w:p w14:paraId="442416C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-0.512</w:t>
            </w:r>
          </w:p>
        </w:tc>
      </w:tr>
      <w:tr w:rsidR="00D55B26" w:rsidRPr="00C16329" w14:paraId="50E37DA3"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52A7EA2"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3A48D60F"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1748C2B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(0.480)</w:t>
            </w:r>
          </w:p>
        </w:tc>
        <w:tc>
          <w:tcPr>
            <w:tcW w:w="1304" w:type="dxa"/>
            <w:tcBorders>
              <w:top w:val="single" w:sz="4" w:space="0" w:color="auto"/>
              <w:left w:val="single" w:sz="4" w:space="0" w:color="auto"/>
              <w:bottom w:val="single" w:sz="4" w:space="0" w:color="auto"/>
              <w:right w:val="single" w:sz="4" w:space="0" w:color="auto"/>
            </w:tcBorders>
            <w:noWrap/>
            <w:vAlign w:val="bottom"/>
          </w:tcPr>
          <w:p w14:paraId="5D61871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(0.921)</w:t>
            </w:r>
          </w:p>
        </w:tc>
        <w:tc>
          <w:tcPr>
            <w:tcW w:w="1169" w:type="dxa"/>
            <w:tcBorders>
              <w:top w:val="single" w:sz="4" w:space="0" w:color="auto"/>
              <w:left w:val="single" w:sz="4" w:space="0" w:color="auto"/>
              <w:bottom w:val="single" w:sz="4" w:space="0" w:color="auto"/>
              <w:right w:val="single" w:sz="4" w:space="0" w:color="auto"/>
            </w:tcBorders>
            <w:noWrap/>
            <w:vAlign w:val="bottom"/>
          </w:tcPr>
          <w:p w14:paraId="0189780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(0.744)</w:t>
            </w:r>
          </w:p>
        </w:tc>
        <w:tc>
          <w:tcPr>
            <w:tcW w:w="1389" w:type="dxa"/>
            <w:tcBorders>
              <w:top w:val="single" w:sz="4" w:space="0" w:color="auto"/>
              <w:left w:val="single" w:sz="4" w:space="0" w:color="auto"/>
              <w:bottom w:val="single" w:sz="4" w:space="0" w:color="auto"/>
              <w:right w:val="single" w:sz="4" w:space="0" w:color="auto"/>
            </w:tcBorders>
            <w:noWrap/>
            <w:vAlign w:val="bottom"/>
          </w:tcPr>
          <w:p w14:paraId="11CF184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(0.890)</w:t>
            </w:r>
          </w:p>
        </w:tc>
      </w:tr>
      <w:tr w:rsidR="00D55B26" w:rsidRPr="00C16329" w14:paraId="141D0DF6"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4257C8BE" w14:textId="77777777" w:rsidR="00D55B26" w:rsidRPr="008B6040" w:rsidRDefault="00517362" w:rsidP="00C24955">
            <w:pPr>
              <w:widowControl/>
              <w:suppressAutoHyphens w:val="0"/>
              <w:rPr>
                <w:kern w:val="0"/>
                <w:sz w:val="16"/>
                <w:szCs w:val="16"/>
                <w:lang w:eastAsia="ko-KR"/>
              </w:rPr>
            </w:pPr>
            <w:r w:rsidRPr="008B6040">
              <w:rPr>
                <w:kern w:val="0"/>
                <w:sz w:val="16"/>
                <w:szCs w:val="16"/>
                <w:lang w:eastAsia="ko-KR"/>
              </w:rPr>
              <w:t xml:space="preserve">Trial lawyer X Democrat X $20 </w:t>
            </w:r>
            <w:r w:rsidR="009C377C">
              <w:rPr>
                <w:kern w:val="0"/>
                <w:sz w:val="16"/>
                <w:szCs w:val="16"/>
                <w:lang w:eastAsia="ko-KR"/>
              </w:rPr>
              <w:t>M</w:t>
            </w:r>
          </w:p>
        </w:tc>
        <w:tc>
          <w:tcPr>
            <w:tcW w:w="1218" w:type="dxa"/>
            <w:tcBorders>
              <w:top w:val="single" w:sz="4" w:space="0" w:color="auto"/>
              <w:left w:val="single" w:sz="4" w:space="0" w:color="auto"/>
              <w:bottom w:val="single" w:sz="4" w:space="0" w:color="auto"/>
              <w:right w:val="single" w:sz="4" w:space="0" w:color="auto"/>
            </w:tcBorders>
            <w:vAlign w:val="bottom"/>
          </w:tcPr>
          <w:p w14:paraId="3CBD002F"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39BCD8C7"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0.0792</w:t>
            </w:r>
          </w:p>
        </w:tc>
        <w:tc>
          <w:tcPr>
            <w:tcW w:w="1304" w:type="dxa"/>
            <w:tcBorders>
              <w:top w:val="single" w:sz="4" w:space="0" w:color="auto"/>
              <w:left w:val="single" w:sz="4" w:space="0" w:color="auto"/>
              <w:bottom w:val="single" w:sz="4" w:space="0" w:color="auto"/>
              <w:right w:val="single" w:sz="4" w:space="0" w:color="auto"/>
            </w:tcBorders>
            <w:noWrap/>
            <w:vAlign w:val="bottom"/>
          </w:tcPr>
          <w:p w14:paraId="1CD50BA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-1.641*</w:t>
            </w:r>
          </w:p>
        </w:tc>
        <w:tc>
          <w:tcPr>
            <w:tcW w:w="1169" w:type="dxa"/>
            <w:tcBorders>
              <w:top w:val="single" w:sz="4" w:space="0" w:color="auto"/>
              <w:left w:val="single" w:sz="4" w:space="0" w:color="auto"/>
              <w:bottom w:val="single" w:sz="4" w:space="0" w:color="auto"/>
              <w:right w:val="single" w:sz="4" w:space="0" w:color="auto"/>
            </w:tcBorders>
            <w:noWrap/>
            <w:vAlign w:val="bottom"/>
          </w:tcPr>
          <w:p w14:paraId="342C085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0.336</w:t>
            </w:r>
          </w:p>
        </w:tc>
        <w:tc>
          <w:tcPr>
            <w:tcW w:w="1389" w:type="dxa"/>
            <w:tcBorders>
              <w:top w:val="single" w:sz="4" w:space="0" w:color="auto"/>
              <w:left w:val="single" w:sz="4" w:space="0" w:color="auto"/>
              <w:bottom w:val="single" w:sz="4" w:space="0" w:color="auto"/>
              <w:right w:val="single" w:sz="4" w:space="0" w:color="auto"/>
            </w:tcBorders>
            <w:noWrap/>
            <w:vAlign w:val="bottom"/>
          </w:tcPr>
          <w:p w14:paraId="1847C353"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0.700</w:t>
            </w:r>
          </w:p>
        </w:tc>
      </w:tr>
      <w:tr w:rsidR="00D55B26" w:rsidRPr="00C16329" w14:paraId="30F4B1DA"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9AD62CB"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4BB3EA13"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5027BD0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(0.439)</w:t>
            </w:r>
          </w:p>
        </w:tc>
        <w:tc>
          <w:tcPr>
            <w:tcW w:w="1304" w:type="dxa"/>
            <w:tcBorders>
              <w:top w:val="single" w:sz="4" w:space="0" w:color="auto"/>
              <w:left w:val="single" w:sz="4" w:space="0" w:color="auto"/>
              <w:bottom w:val="single" w:sz="4" w:space="0" w:color="auto"/>
              <w:right w:val="single" w:sz="4" w:space="0" w:color="auto"/>
            </w:tcBorders>
            <w:noWrap/>
            <w:vAlign w:val="bottom"/>
          </w:tcPr>
          <w:p w14:paraId="1F8CC05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(0.911)</w:t>
            </w:r>
          </w:p>
        </w:tc>
        <w:tc>
          <w:tcPr>
            <w:tcW w:w="1169" w:type="dxa"/>
            <w:tcBorders>
              <w:top w:val="single" w:sz="4" w:space="0" w:color="auto"/>
              <w:left w:val="single" w:sz="4" w:space="0" w:color="auto"/>
              <w:bottom w:val="single" w:sz="4" w:space="0" w:color="auto"/>
              <w:right w:val="single" w:sz="4" w:space="0" w:color="auto"/>
            </w:tcBorders>
            <w:noWrap/>
            <w:vAlign w:val="bottom"/>
          </w:tcPr>
          <w:p w14:paraId="75BBA5E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(0.700)</w:t>
            </w:r>
          </w:p>
        </w:tc>
        <w:tc>
          <w:tcPr>
            <w:tcW w:w="1389" w:type="dxa"/>
            <w:tcBorders>
              <w:top w:val="single" w:sz="4" w:space="0" w:color="auto"/>
              <w:left w:val="single" w:sz="4" w:space="0" w:color="auto"/>
              <w:bottom w:val="single" w:sz="4" w:space="0" w:color="auto"/>
              <w:right w:val="single" w:sz="4" w:space="0" w:color="auto"/>
            </w:tcBorders>
            <w:noWrap/>
            <w:vAlign w:val="bottom"/>
          </w:tcPr>
          <w:p w14:paraId="3AD8F9D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(0.753)</w:t>
            </w:r>
          </w:p>
        </w:tc>
      </w:tr>
      <w:tr w:rsidR="00D55B26" w:rsidRPr="00C16329" w14:paraId="7B93DBF3"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657B364"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Republican respondent</w:t>
            </w:r>
          </w:p>
        </w:tc>
        <w:tc>
          <w:tcPr>
            <w:tcW w:w="1218" w:type="dxa"/>
            <w:tcBorders>
              <w:top w:val="single" w:sz="4" w:space="0" w:color="auto"/>
              <w:left w:val="single" w:sz="4" w:space="0" w:color="auto"/>
              <w:bottom w:val="single" w:sz="4" w:space="0" w:color="auto"/>
              <w:right w:val="single" w:sz="4" w:space="0" w:color="auto"/>
            </w:tcBorders>
            <w:vAlign w:val="bottom"/>
          </w:tcPr>
          <w:p w14:paraId="5D89C9D6" w14:textId="77777777" w:rsidR="00D55B26" w:rsidRPr="0093531D" w:rsidRDefault="00D55B26" w:rsidP="00C24955">
            <w:pPr>
              <w:jc w:val="center"/>
              <w:rPr>
                <w:sz w:val="20"/>
                <w:szCs w:val="20"/>
              </w:rPr>
            </w:pPr>
            <w:r w:rsidRPr="0093531D">
              <w:rPr>
                <w:sz w:val="20"/>
                <w:szCs w:val="20"/>
              </w:rPr>
              <w:t>0.254</w:t>
            </w:r>
          </w:p>
        </w:tc>
        <w:tc>
          <w:tcPr>
            <w:tcW w:w="1073" w:type="dxa"/>
            <w:tcBorders>
              <w:top w:val="single" w:sz="4" w:space="0" w:color="auto"/>
              <w:left w:val="single" w:sz="4" w:space="0" w:color="auto"/>
              <w:bottom w:val="single" w:sz="4" w:space="0" w:color="auto"/>
              <w:right w:val="single" w:sz="4" w:space="0" w:color="auto"/>
            </w:tcBorders>
            <w:noWrap/>
            <w:vAlign w:val="bottom"/>
          </w:tcPr>
          <w:p w14:paraId="0A10EDA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0.229</w:t>
            </w:r>
          </w:p>
        </w:tc>
        <w:tc>
          <w:tcPr>
            <w:tcW w:w="1304" w:type="dxa"/>
            <w:tcBorders>
              <w:top w:val="single" w:sz="4" w:space="0" w:color="auto"/>
              <w:left w:val="single" w:sz="4" w:space="0" w:color="auto"/>
              <w:bottom w:val="single" w:sz="4" w:space="0" w:color="auto"/>
              <w:right w:val="single" w:sz="4" w:space="0" w:color="auto"/>
            </w:tcBorders>
            <w:noWrap/>
            <w:vAlign w:val="bottom"/>
          </w:tcPr>
          <w:p w14:paraId="467A3AD8" w14:textId="77777777" w:rsidR="00D55B26" w:rsidRPr="0093531D" w:rsidRDefault="00D55B26" w:rsidP="00C24955">
            <w:pPr>
              <w:widowControl/>
              <w:suppressAutoHyphens w:val="0"/>
              <w:jc w:val="center"/>
              <w:rPr>
                <w:kern w:val="0"/>
                <w:sz w:val="20"/>
                <w:szCs w:val="20"/>
                <w:lang w:eastAsia="ko-KR"/>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5A305120" w14:textId="77777777" w:rsidR="00D55B26" w:rsidRPr="0093531D" w:rsidRDefault="00D55B26" w:rsidP="00C24955">
            <w:pPr>
              <w:widowControl/>
              <w:suppressAutoHyphens w:val="0"/>
              <w:jc w:val="center"/>
              <w:rPr>
                <w:kern w:val="0"/>
                <w:sz w:val="20"/>
                <w:szCs w:val="20"/>
                <w:lang w:eastAsia="ko-KR"/>
              </w:rPr>
            </w:pPr>
          </w:p>
        </w:tc>
        <w:tc>
          <w:tcPr>
            <w:tcW w:w="1389" w:type="dxa"/>
            <w:tcBorders>
              <w:top w:val="single" w:sz="4" w:space="0" w:color="auto"/>
              <w:left w:val="single" w:sz="4" w:space="0" w:color="auto"/>
              <w:bottom w:val="single" w:sz="4" w:space="0" w:color="auto"/>
              <w:right w:val="single" w:sz="4" w:space="0" w:color="auto"/>
            </w:tcBorders>
            <w:noWrap/>
            <w:vAlign w:val="bottom"/>
          </w:tcPr>
          <w:p w14:paraId="0AA51E9B" w14:textId="77777777" w:rsidR="00D55B26" w:rsidRPr="0093531D" w:rsidRDefault="00D55B26" w:rsidP="00C24955">
            <w:pPr>
              <w:widowControl/>
              <w:suppressAutoHyphens w:val="0"/>
              <w:jc w:val="center"/>
              <w:rPr>
                <w:kern w:val="0"/>
                <w:sz w:val="20"/>
                <w:szCs w:val="20"/>
                <w:lang w:eastAsia="ko-KR"/>
              </w:rPr>
            </w:pPr>
          </w:p>
        </w:tc>
      </w:tr>
      <w:tr w:rsidR="00D55B26" w:rsidRPr="00C16329" w14:paraId="75A22EA8"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7269E998"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643350D8" w14:textId="77777777" w:rsidR="00D55B26" w:rsidRPr="0093531D" w:rsidRDefault="00D55B26" w:rsidP="00C24955">
            <w:pPr>
              <w:jc w:val="center"/>
              <w:rPr>
                <w:sz w:val="20"/>
                <w:szCs w:val="20"/>
              </w:rPr>
            </w:pPr>
            <w:r w:rsidRPr="0093531D">
              <w:rPr>
                <w:sz w:val="20"/>
                <w:szCs w:val="20"/>
              </w:rPr>
              <w:t>(0.179)</w:t>
            </w:r>
          </w:p>
        </w:tc>
        <w:tc>
          <w:tcPr>
            <w:tcW w:w="1073" w:type="dxa"/>
            <w:tcBorders>
              <w:top w:val="single" w:sz="4" w:space="0" w:color="auto"/>
              <w:left w:val="single" w:sz="4" w:space="0" w:color="auto"/>
              <w:bottom w:val="single" w:sz="4" w:space="0" w:color="auto"/>
              <w:right w:val="single" w:sz="4" w:space="0" w:color="auto"/>
            </w:tcBorders>
            <w:noWrap/>
            <w:vAlign w:val="bottom"/>
          </w:tcPr>
          <w:p w14:paraId="1FB16C93"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(0.179)</w:t>
            </w:r>
          </w:p>
        </w:tc>
        <w:tc>
          <w:tcPr>
            <w:tcW w:w="1304" w:type="dxa"/>
            <w:tcBorders>
              <w:top w:val="single" w:sz="4" w:space="0" w:color="auto"/>
              <w:left w:val="single" w:sz="4" w:space="0" w:color="auto"/>
              <w:bottom w:val="single" w:sz="4" w:space="0" w:color="auto"/>
              <w:right w:val="single" w:sz="4" w:space="0" w:color="auto"/>
            </w:tcBorders>
            <w:noWrap/>
            <w:vAlign w:val="bottom"/>
          </w:tcPr>
          <w:p w14:paraId="749F11C6" w14:textId="77777777" w:rsidR="00D55B26" w:rsidRPr="0093531D" w:rsidRDefault="00D55B26" w:rsidP="00C24955">
            <w:pPr>
              <w:widowControl/>
              <w:suppressAutoHyphens w:val="0"/>
              <w:jc w:val="center"/>
              <w:rPr>
                <w:kern w:val="0"/>
                <w:sz w:val="20"/>
                <w:szCs w:val="20"/>
                <w:lang w:eastAsia="ko-KR"/>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1579D8FC" w14:textId="77777777" w:rsidR="00D55B26" w:rsidRPr="0093531D" w:rsidRDefault="00D55B26" w:rsidP="00C24955">
            <w:pPr>
              <w:widowControl/>
              <w:suppressAutoHyphens w:val="0"/>
              <w:jc w:val="center"/>
              <w:rPr>
                <w:kern w:val="0"/>
                <w:sz w:val="20"/>
                <w:szCs w:val="20"/>
                <w:lang w:eastAsia="ko-KR"/>
              </w:rPr>
            </w:pPr>
          </w:p>
        </w:tc>
        <w:tc>
          <w:tcPr>
            <w:tcW w:w="1389" w:type="dxa"/>
            <w:tcBorders>
              <w:top w:val="single" w:sz="4" w:space="0" w:color="auto"/>
              <w:left w:val="single" w:sz="4" w:space="0" w:color="auto"/>
              <w:bottom w:val="single" w:sz="4" w:space="0" w:color="auto"/>
              <w:right w:val="single" w:sz="4" w:space="0" w:color="auto"/>
            </w:tcBorders>
            <w:noWrap/>
            <w:vAlign w:val="bottom"/>
          </w:tcPr>
          <w:p w14:paraId="7E85FF5A" w14:textId="77777777" w:rsidR="00D55B26" w:rsidRPr="0093531D" w:rsidRDefault="00D55B26" w:rsidP="00C24955">
            <w:pPr>
              <w:widowControl/>
              <w:suppressAutoHyphens w:val="0"/>
              <w:jc w:val="center"/>
              <w:rPr>
                <w:kern w:val="0"/>
                <w:sz w:val="20"/>
                <w:szCs w:val="20"/>
                <w:lang w:eastAsia="ko-KR"/>
              </w:rPr>
            </w:pPr>
          </w:p>
        </w:tc>
      </w:tr>
      <w:tr w:rsidR="00D55B26" w:rsidRPr="00C16329" w14:paraId="5C8B1A08"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9E4D2BF"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Democratic respondent</w:t>
            </w:r>
          </w:p>
        </w:tc>
        <w:tc>
          <w:tcPr>
            <w:tcW w:w="1218" w:type="dxa"/>
            <w:tcBorders>
              <w:top w:val="single" w:sz="4" w:space="0" w:color="auto"/>
              <w:left w:val="single" w:sz="4" w:space="0" w:color="auto"/>
              <w:bottom w:val="single" w:sz="4" w:space="0" w:color="auto"/>
              <w:right w:val="single" w:sz="4" w:space="0" w:color="auto"/>
            </w:tcBorders>
            <w:vAlign w:val="bottom"/>
          </w:tcPr>
          <w:p w14:paraId="0A75E300" w14:textId="77777777" w:rsidR="00D55B26" w:rsidRPr="0093531D" w:rsidRDefault="00D55B26" w:rsidP="00C24955">
            <w:pPr>
              <w:jc w:val="center"/>
              <w:rPr>
                <w:sz w:val="20"/>
                <w:szCs w:val="20"/>
              </w:rPr>
            </w:pPr>
            <w:r w:rsidRPr="0093531D">
              <w:rPr>
                <w:sz w:val="20"/>
                <w:szCs w:val="20"/>
              </w:rPr>
              <w:t>-0.402**</w:t>
            </w:r>
          </w:p>
        </w:tc>
        <w:tc>
          <w:tcPr>
            <w:tcW w:w="1073" w:type="dxa"/>
            <w:tcBorders>
              <w:top w:val="single" w:sz="4" w:space="0" w:color="auto"/>
              <w:left w:val="single" w:sz="4" w:space="0" w:color="auto"/>
              <w:bottom w:val="single" w:sz="4" w:space="0" w:color="auto"/>
              <w:right w:val="single" w:sz="4" w:space="0" w:color="auto"/>
            </w:tcBorders>
            <w:noWrap/>
            <w:vAlign w:val="bottom"/>
          </w:tcPr>
          <w:p w14:paraId="679222E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-0.431***</w:t>
            </w:r>
          </w:p>
        </w:tc>
        <w:tc>
          <w:tcPr>
            <w:tcW w:w="1304" w:type="dxa"/>
            <w:tcBorders>
              <w:top w:val="single" w:sz="4" w:space="0" w:color="auto"/>
              <w:left w:val="single" w:sz="4" w:space="0" w:color="auto"/>
              <w:bottom w:val="single" w:sz="4" w:space="0" w:color="auto"/>
              <w:right w:val="single" w:sz="4" w:space="0" w:color="auto"/>
            </w:tcBorders>
            <w:noWrap/>
            <w:vAlign w:val="bottom"/>
          </w:tcPr>
          <w:p w14:paraId="6C52090D" w14:textId="77777777" w:rsidR="00D55B26" w:rsidRPr="0093531D" w:rsidRDefault="00D55B26" w:rsidP="00C24955">
            <w:pPr>
              <w:widowControl/>
              <w:suppressAutoHyphens w:val="0"/>
              <w:jc w:val="center"/>
              <w:rPr>
                <w:kern w:val="0"/>
                <w:sz w:val="20"/>
                <w:szCs w:val="20"/>
                <w:lang w:eastAsia="ko-KR"/>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223231B5" w14:textId="77777777" w:rsidR="00D55B26" w:rsidRPr="0093531D" w:rsidRDefault="00D55B26" w:rsidP="00C24955">
            <w:pPr>
              <w:widowControl/>
              <w:suppressAutoHyphens w:val="0"/>
              <w:jc w:val="center"/>
              <w:rPr>
                <w:kern w:val="0"/>
                <w:sz w:val="20"/>
                <w:szCs w:val="20"/>
                <w:lang w:eastAsia="ko-KR"/>
              </w:rPr>
            </w:pPr>
          </w:p>
        </w:tc>
        <w:tc>
          <w:tcPr>
            <w:tcW w:w="1389" w:type="dxa"/>
            <w:tcBorders>
              <w:top w:val="single" w:sz="4" w:space="0" w:color="auto"/>
              <w:left w:val="single" w:sz="4" w:space="0" w:color="auto"/>
              <w:bottom w:val="single" w:sz="4" w:space="0" w:color="auto"/>
              <w:right w:val="single" w:sz="4" w:space="0" w:color="auto"/>
            </w:tcBorders>
            <w:noWrap/>
            <w:vAlign w:val="bottom"/>
          </w:tcPr>
          <w:p w14:paraId="7AA9BB80" w14:textId="77777777" w:rsidR="00D55B26" w:rsidRPr="0093531D" w:rsidRDefault="00D55B26" w:rsidP="00C24955">
            <w:pPr>
              <w:widowControl/>
              <w:suppressAutoHyphens w:val="0"/>
              <w:jc w:val="center"/>
              <w:rPr>
                <w:kern w:val="0"/>
                <w:sz w:val="20"/>
                <w:szCs w:val="20"/>
                <w:lang w:eastAsia="ko-KR"/>
              </w:rPr>
            </w:pPr>
          </w:p>
        </w:tc>
      </w:tr>
      <w:tr w:rsidR="00D55B26" w:rsidRPr="00C16329" w14:paraId="25AD9040"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5F727A8C"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45D43E4D" w14:textId="77777777" w:rsidR="00D55B26" w:rsidRPr="0093531D" w:rsidRDefault="00D55B26" w:rsidP="00C24955">
            <w:pPr>
              <w:jc w:val="center"/>
              <w:rPr>
                <w:sz w:val="20"/>
                <w:szCs w:val="20"/>
              </w:rPr>
            </w:pPr>
            <w:r w:rsidRPr="0093531D">
              <w:rPr>
                <w:sz w:val="20"/>
                <w:szCs w:val="20"/>
              </w:rPr>
              <w:t>(0.165)</w:t>
            </w:r>
          </w:p>
        </w:tc>
        <w:tc>
          <w:tcPr>
            <w:tcW w:w="1073" w:type="dxa"/>
            <w:tcBorders>
              <w:top w:val="single" w:sz="4" w:space="0" w:color="auto"/>
              <w:left w:val="single" w:sz="4" w:space="0" w:color="auto"/>
              <w:bottom w:val="single" w:sz="4" w:space="0" w:color="auto"/>
              <w:right w:val="single" w:sz="4" w:space="0" w:color="auto"/>
            </w:tcBorders>
            <w:noWrap/>
            <w:vAlign w:val="bottom"/>
          </w:tcPr>
          <w:p w14:paraId="7A66E9F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(0.165)</w:t>
            </w:r>
          </w:p>
        </w:tc>
        <w:tc>
          <w:tcPr>
            <w:tcW w:w="1304" w:type="dxa"/>
            <w:tcBorders>
              <w:top w:val="single" w:sz="4" w:space="0" w:color="auto"/>
              <w:left w:val="single" w:sz="4" w:space="0" w:color="auto"/>
              <w:bottom w:val="single" w:sz="4" w:space="0" w:color="auto"/>
              <w:right w:val="single" w:sz="4" w:space="0" w:color="auto"/>
            </w:tcBorders>
            <w:noWrap/>
            <w:vAlign w:val="bottom"/>
          </w:tcPr>
          <w:p w14:paraId="592A61F9" w14:textId="77777777" w:rsidR="00D55B26" w:rsidRPr="0093531D" w:rsidRDefault="00D55B26" w:rsidP="00C24955">
            <w:pPr>
              <w:widowControl/>
              <w:suppressAutoHyphens w:val="0"/>
              <w:jc w:val="center"/>
              <w:rPr>
                <w:kern w:val="0"/>
                <w:sz w:val="20"/>
                <w:szCs w:val="20"/>
                <w:lang w:eastAsia="ko-KR"/>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49FD84F8" w14:textId="77777777" w:rsidR="00D55B26" w:rsidRPr="0093531D" w:rsidRDefault="00D55B26" w:rsidP="00C24955">
            <w:pPr>
              <w:widowControl/>
              <w:suppressAutoHyphens w:val="0"/>
              <w:jc w:val="center"/>
              <w:rPr>
                <w:kern w:val="0"/>
                <w:sz w:val="20"/>
                <w:szCs w:val="20"/>
                <w:lang w:eastAsia="ko-KR"/>
              </w:rPr>
            </w:pPr>
          </w:p>
        </w:tc>
        <w:tc>
          <w:tcPr>
            <w:tcW w:w="1389" w:type="dxa"/>
            <w:tcBorders>
              <w:top w:val="single" w:sz="4" w:space="0" w:color="auto"/>
              <w:left w:val="single" w:sz="4" w:space="0" w:color="auto"/>
              <w:bottom w:val="single" w:sz="4" w:space="0" w:color="auto"/>
              <w:right w:val="single" w:sz="4" w:space="0" w:color="auto"/>
            </w:tcBorders>
            <w:noWrap/>
            <w:vAlign w:val="bottom"/>
          </w:tcPr>
          <w:p w14:paraId="1DE2ED12" w14:textId="77777777" w:rsidR="00D55B26" w:rsidRPr="0093531D" w:rsidRDefault="00D55B26" w:rsidP="00C24955">
            <w:pPr>
              <w:widowControl/>
              <w:suppressAutoHyphens w:val="0"/>
              <w:jc w:val="center"/>
              <w:rPr>
                <w:kern w:val="0"/>
                <w:sz w:val="20"/>
                <w:szCs w:val="20"/>
                <w:lang w:eastAsia="ko-KR"/>
              </w:rPr>
            </w:pPr>
          </w:p>
        </w:tc>
      </w:tr>
      <w:tr w:rsidR="00D55B26" w:rsidRPr="00C16329" w14:paraId="06523B59"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0E83B062"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Age</w:t>
            </w:r>
          </w:p>
        </w:tc>
        <w:tc>
          <w:tcPr>
            <w:tcW w:w="1218" w:type="dxa"/>
            <w:tcBorders>
              <w:top w:val="single" w:sz="4" w:space="0" w:color="auto"/>
              <w:left w:val="single" w:sz="4" w:space="0" w:color="auto"/>
              <w:bottom w:val="single" w:sz="4" w:space="0" w:color="auto"/>
              <w:right w:val="single" w:sz="4" w:space="0" w:color="auto"/>
            </w:tcBorders>
            <w:vAlign w:val="bottom"/>
          </w:tcPr>
          <w:p w14:paraId="6D125DDD" w14:textId="77777777" w:rsidR="00D55B26" w:rsidRPr="0093531D" w:rsidRDefault="00D55B26" w:rsidP="00C24955">
            <w:pPr>
              <w:jc w:val="center"/>
              <w:rPr>
                <w:sz w:val="20"/>
                <w:szCs w:val="20"/>
              </w:rPr>
            </w:pPr>
            <w:r w:rsidRPr="0093531D">
              <w:rPr>
                <w:sz w:val="20"/>
                <w:szCs w:val="20"/>
              </w:rPr>
              <w:t>-0.0205</w:t>
            </w:r>
          </w:p>
        </w:tc>
        <w:tc>
          <w:tcPr>
            <w:tcW w:w="1073" w:type="dxa"/>
            <w:tcBorders>
              <w:top w:val="single" w:sz="4" w:space="0" w:color="auto"/>
              <w:left w:val="single" w:sz="4" w:space="0" w:color="auto"/>
              <w:bottom w:val="single" w:sz="4" w:space="0" w:color="auto"/>
              <w:right w:val="single" w:sz="4" w:space="0" w:color="auto"/>
            </w:tcBorders>
            <w:noWrap/>
            <w:vAlign w:val="bottom"/>
          </w:tcPr>
          <w:p w14:paraId="74A7E55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-0.0137</w:t>
            </w:r>
          </w:p>
        </w:tc>
        <w:tc>
          <w:tcPr>
            <w:tcW w:w="1304" w:type="dxa"/>
            <w:tcBorders>
              <w:top w:val="single" w:sz="4" w:space="0" w:color="auto"/>
              <w:left w:val="single" w:sz="4" w:space="0" w:color="auto"/>
              <w:bottom w:val="single" w:sz="4" w:space="0" w:color="auto"/>
              <w:right w:val="single" w:sz="4" w:space="0" w:color="auto"/>
            </w:tcBorders>
            <w:noWrap/>
            <w:vAlign w:val="bottom"/>
          </w:tcPr>
          <w:p w14:paraId="68151BF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-0.00584</w:t>
            </w:r>
          </w:p>
        </w:tc>
        <w:tc>
          <w:tcPr>
            <w:tcW w:w="1169" w:type="dxa"/>
            <w:tcBorders>
              <w:top w:val="single" w:sz="4" w:space="0" w:color="auto"/>
              <w:left w:val="single" w:sz="4" w:space="0" w:color="auto"/>
              <w:bottom w:val="single" w:sz="4" w:space="0" w:color="auto"/>
              <w:right w:val="single" w:sz="4" w:space="0" w:color="auto"/>
            </w:tcBorders>
            <w:noWrap/>
            <w:vAlign w:val="bottom"/>
          </w:tcPr>
          <w:p w14:paraId="0CDF580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-0.0246</w:t>
            </w:r>
          </w:p>
        </w:tc>
        <w:tc>
          <w:tcPr>
            <w:tcW w:w="1389" w:type="dxa"/>
            <w:tcBorders>
              <w:top w:val="single" w:sz="4" w:space="0" w:color="auto"/>
              <w:left w:val="single" w:sz="4" w:space="0" w:color="auto"/>
              <w:bottom w:val="single" w:sz="4" w:space="0" w:color="auto"/>
              <w:right w:val="single" w:sz="4" w:space="0" w:color="auto"/>
            </w:tcBorders>
            <w:noWrap/>
            <w:vAlign w:val="bottom"/>
          </w:tcPr>
          <w:p w14:paraId="6F4006D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0.109</w:t>
            </w:r>
          </w:p>
        </w:tc>
      </w:tr>
      <w:tr w:rsidR="00D55B26" w:rsidRPr="00C16329" w14:paraId="3D0E844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BBB7A75"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0255AC08" w14:textId="77777777" w:rsidR="00D55B26" w:rsidRPr="0093531D" w:rsidRDefault="00D55B26" w:rsidP="00C24955">
            <w:pPr>
              <w:jc w:val="center"/>
              <w:rPr>
                <w:sz w:val="20"/>
                <w:szCs w:val="20"/>
              </w:rPr>
            </w:pPr>
            <w:r w:rsidRPr="0093531D">
              <w:rPr>
                <w:sz w:val="20"/>
                <w:szCs w:val="20"/>
              </w:rPr>
              <w:t>(0.0568)</w:t>
            </w:r>
          </w:p>
        </w:tc>
        <w:tc>
          <w:tcPr>
            <w:tcW w:w="1073" w:type="dxa"/>
            <w:tcBorders>
              <w:top w:val="single" w:sz="4" w:space="0" w:color="auto"/>
              <w:left w:val="single" w:sz="4" w:space="0" w:color="auto"/>
              <w:bottom w:val="single" w:sz="4" w:space="0" w:color="auto"/>
              <w:right w:val="single" w:sz="4" w:space="0" w:color="auto"/>
            </w:tcBorders>
            <w:noWrap/>
            <w:vAlign w:val="bottom"/>
          </w:tcPr>
          <w:p w14:paraId="2BB553F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(0.0567)</w:t>
            </w:r>
          </w:p>
        </w:tc>
        <w:tc>
          <w:tcPr>
            <w:tcW w:w="1304" w:type="dxa"/>
            <w:tcBorders>
              <w:top w:val="single" w:sz="4" w:space="0" w:color="auto"/>
              <w:left w:val="single" w:sz="4" w:space="0" w:color="auto"/>
              <w:bottom w:val="single" w:sz="4" w:space="0" w:color="auto"/>
              <w:right w:val="single" w:sz="4" w:space="0" w:color="auto"/>
            </w:tcBorders>
            <w:noWrap/>
            <w:vAlign w:val="bottom"/>
          </w:tcPr>
          <w:p w14:paraId="6664341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(0.109)</w:t>
            </w:r>
          </w:p>
        </w:tc>
        <w:tc>
          <w:tcPr>
            <w:tcW w:w="1169" w:type="dxa"/>
            <w:tcBorders>
              <w:top w:val="single" w:sz="4" w:space="0" w:color="auto"/>
              <w:left w:val="single" w:sz="4" w:space="0" w:color="auto"/>
              <w:bottom w:val="single" w:sz="4" w:space="0" w:color="auto"/>
              <w:right w:val="single" w:sz="4" w:space="0" w:color="auto"/>
            </w:tcBorders>
            <w:noWrap/>
            <w:vAlign w:val="bottom"/>
          </w:tcPr>
          <w:p w14:paraId="2D2FD1D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(0.0882)</w:t>
            </w:r>
          </w:p>
        </w:tc>
        <w:tc>
          <w:tcPr>
            <w:tcW w:w="1389" w:type="dxa"/>
            <w:tcBorders>
              <w:top w:val="single" w:sz="4" w:space="0" w:color="auto"/>
              <w:left w:val="single" w:sz="4" w:space="0" w:color="auto"/>
              <w:bottom w:val="single" w:sz="4" w:space="0" w:color="auto"/>
              <w:right w:val="single" w:sz="4" w:space="0" w:color="auto"/>
            </w:tcBorders>
            <w:noWrap/>
            <w:vAlign w:val="bottom"/>
          </w:tcPr>
          <w:p w14:paraId="1E9108E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(0.106)</w:t>
            </w:r>
          </w:p>
        </w:tc>
      </w:tr>
      <w:tr w:rsidR="00D55B26" w:rsidRPr="00C16329" w14:paraId="3F666A8D"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70F601F1"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College</w:t>
            </w:r>
          </w:p>
        </w:tc>
        <w:tc>
          <w:tcPr>
            <w:tcW w:w="1218" w:type="dxa"/>
            <w:tcBorders>
              <w:top w:val="single" w:sz="4" w:space="0" w:color="auto"/>
              <w:left w:val="single" w:sz="4" w:space="0" w:color="auto"/>
              <w:bottom w:val="single" w:sz="4" w:space="0" w:color="auto"/>
              <w:right w:val="single" w:sz="4" w:space="0" w:color="auto"/>
            </w:tcBorders>
            <w:vAlign w:val="bottom"/>
          </w:tcPr>
          <w:p w14:paraId="28B56C72" w14:textId="77777777" w:rsidR="00D55B26" w:rsidRPr="0093531D" w:rsidRDefault="00D55B26" w:rsidP="00C24955">
            <w:pPr>
              <w:jc w:val="center"/>
              <w:rPr>
                <w:sz w:val="20"/>
                <w:szCs w:val="20"/>
              </w:rPr>
            </w:pPr>
            <w:r w:rsidRPr="0093531D">
              <w:rPr>
                <w:sz w:val="20"/>
                <w:szCs w:val="20"/>
              </w:rPr>
              <w:t>-0.0590</w:t>
            </w:r>
          </w:p>
        </w:tc>
        <w:tc>
          <w:tcPr>
            <w:tcW w:w="1073" w:type="dxa"/>
            <w:tcBorders>
              <w:top w:val="single" w:sz="4" w:space="0" w:color="auto"/>
              <w:left w:val="single" w:sz="4" w:space="0" w:color="auto"/>
              <w:bottom w:val="single" w:sz="4" w:space="0" w:color="auto"/>
              <w:right w:val="single" w:sz="4" w:space="0" w:color="auto"/>
            </w:tcBorders>
            <w:noWrap/>
            <w:vAlign w:val="bottom"/>
          </w:tcPr>
          <w:p w14:paraId="530E087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-0.0584</w:t>
            </w:r>
          </w:p>
        </w:tc>
        <w:tc>
          <w:tcPr>
            <w:tcW w:w="1304" w:type="dxa"/>
            <w:tcBorders>
              <w:top w:val="single" w:sz="4" w:space="0" w:color="auto"/>
              <w:left w:val="single" w:sz="4" w:space="0" w:color="auto"/>
              <w:bottom w:val="single" w:sz="4" w:space="0" w:color="auto"/>
              <w:right w:val="single" w:sz="4" w:space="0" w:color="auto"/>
            </w:tcBorders>
            <w:noWrap/>
            <w:vAlign w:val="bottom"/>
          </w:tcPr>
          <w:p w14:paraId="5C686A4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-0.318</w:t>
            </w:r>
          </w:p>
        </w:tc>
        <w:tc>
          <w:tcPr>
            <w:tcW w:w="1169" w:type="dxa"/>
            <w:tcBorders>
              <w:top w:val="single" w:sz="4" w:space="0" w:color="auto"/>
              <w:left w:val="single" w:sz="4" w:space="0" w:color="auto"/>
              <w:bottom w:val="single" w:sz="4" w:space="0" w:color="auto"/>
              <w:right w:val="single" w:sz="4" w:space="0" w:color="auto"/>
            </w:tcBorders>
            <w:noWrap/>
            <w:vAlign w:val="bottom"/>
          </w:tcPr>
          <w:p w14:paraId="2CC292A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-0.109</w:t>
            </w:r>
          </w:p>
        </w:tc>
        <w:tc>
          <w:tcPr>
            <w:tcW w:w="1389" w:type="dxa"/>
            <w:tcBorders>
              <w:top w:val="single" w:sz="4" w:space="0" w:color="auto"/>
              <w:left w:val="single" w:sz="4" w:space="0" w:color="auto"/>
              <w:bottom w:val="single" w:sz="4" w:space="0" w:color="auto"/>
              <w:right w:val="single" w:sz="4" w:space="0" w:color="auto"/>
            </w:tcBorders>
            <w:noWrap/>
            <w:vAlign w:val="bottom"/>
          </w:tcPr>
          <w:p w14:paraId="3F807DC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0.0930</w:t>
            </w:r>
          </w:p>
        </w:tc>
      </w:tr>
      <w:tr w:rsidR="00D55B26" w:rsidRPr="00C16329" w14:paraId="52A3739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57127797"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7A82C9EC" w14:textId="77777777" w:rsidR="00D55B26" w:rsidRPr="0093531D" w:rsidRDefault="00D55B26" w:rsidP="00C24955">
            <w:pPr>
              <w:jc w:val="center"/>
              <w:rPr>
                <w:sz w:val="20"/>
                <w:szCs w:val="20"/>
              </w:rPr>
            </w:pPr>
            <w:r w:rsidRPr="0093531D">
              <w:rPr>
                <w:sz w:val="20"/>
                <w:szCs w:val="20"/>
              </w:rPr>
              <w:t>(0.151)</w:t>
            </w:r>
          </w:p>
        </w:tc>
        <w:tc>
          <w:tcPr>
            <w:tcW w:w="1073" w:type="dxa"/>
            <w:tcBorders>
              <w:top w:val="single" w:sz="4" w:space="0" w:color="auto"/>
              <w:left w:val="single" w:sz="4" w:space="0" w:color="auto"/>
              <w:bottom w:val="single" w:sz="4" w:space="0" w:color="auto"/>
              <w:right w:val="single" w:sz="4" w:space="0" w:color="auto"/>
            </w:tcBorders>
            <w:noWrap/>
            <w:vAlign w:val="bottom"/>
          </w:tcPr>
          <w:p w14:paraId="06895C6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(0.151)</w:t>
            </w:r>
          </w:p>
        </w:tc>
        <w:tc>
          <w:tcPr>
            <w:tcW w:w="1304" w:type="dxa"/>
            <w:tcBorders>
              <w:top w:val="single" w:sz="4" w:space="0" w:color="auto"/>
              <w:left w:val="single" w:sz="4" w:space="0" w:color="auto"/>
              <w:bottom w:val="single" w:sz="4" w:space="0" w:color="auto"/>
              <w:right w:val="single" w:sz="4" w:space="0" w:color="auto"/>
            </w:tcBorders>
            <w:noWrap/>
            <w:vAlign w:val="bottom"/>
          </w:tcPr>
          <w:p w14:paraId="5EAB4E1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(0.289)</w:t>
            </w:r>
          </w:p>
        </w:tc>
        <w:tc>
          <w:tcPr>
            <w:tcW w:w="1169" w:type="dxa"/>
            <w:tcBorders>
              <w:top w:val="single" w:sz="4" w:space="0" w:color="auto"/>
              <w:left w:val="single" w:sz="4" w:space="0" w:color="auto"/>
              <w:bottom w:val="single" w:sz="4" w:space="0" w:color="auto"/>
              <w:right w:val="single" w:sz="4" w:space="0" w:color="auto"/>
            </w:tcBorders>
            <w:noWrap/>
            <w:vAlign w:val="bottom"/>
          </w:tcPr>
          <w:p w14:paraId="6CE06ED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(0.239)</w:t>
            </w:r>
          </w:p>
        </w:tc>
        <w:tc>
          <w:tcPr>
            <w:tcW w:w="1389" w:type="dxa"/>
            <w:tcBorders>
              <w:top w:val="single" w:sz="4" w:space="0" w:color="auto"/>
              <w:left w:val="single" w:sz="4" w:space="0" w:color="auto"/>
              <w:bottom w:val="single" w:sz="4" w:space="0" w:color="auto"/>
              <w:right w:val="single" w:sz="4" w:space="0" w:color="auto"/>
            </w:tcBorders>
            <w:noWrap/>
            <w:vAlign w:val="bottom"/>
          </w:tcPr>
          <w:p w14:paraId="790868A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(0.272)</w:t>
            </w:r>
          </w:p>
        </w:tc>
      </w:tr>
      <w:tr w:rsidR="00D55B26" w:rsidRPr="00C16329" w14:paraId="2F36FA84"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396F047"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Union</w:t>
            </w:r>
          </w:p>
        </w:tc>
        <w:tc>
          <w:tcPr>
            <w:tcW w:w="1218" w:type="dxa"/>
            <w:tcBorders>
              <w:top w:val="single" w:sz="4" w:space="0" w:color="auto"/>
              <w:left w:val="single" w:sz="4" w:space="0" w:color="auto"/>
              <w:bottom w:val="single" w:sz="4" w:space="0" w:color="auto"/>
              <w:right w:val="single" w:sz="4" w:space="0" w:color="auto"/>
            </w:tcBorders>
            <w:vAlign w:val="bottom"/>
          </w:tcPr>
          <w:p w14:paraId="308CAE02" w14:textId="77777777" w:rsidR="00D55B26" w:rsidRPr="0093531D" w:rsidRDefault="00D55B26" w:rsidP="00C24955">
            <w:pPr>
              <w:jc w:val="center"/>
              <w:rPr>
                <w:sz w:val="20"/>
                <w:szCs w:val="20"/>
              </w:rPr>
            </w:pPr>
            <w:r w:rsidRPr="0093531D">
              <w:rPr>
                <w:sz w:val="20"/>
                <w:szCs w:val="20"/>
              </w:rPr>
              <w:t>0.327*</w:t>
            </w:r>
          </w:p>
        </w:tc>
        <w:tc>
          <w:tcPr>
            <w:tcW w:w="1073" w:type="dxa"/>
            <w:tcBorders>
              <w:top w:val="single" w:sz="4" w:space="0" w:color="auto"/>
              <w:left w:val="single" w:sz="4" w:space="0" w:color="auto"/>
              <w:bottom w:val="single" w:sz="4" w:space="0" w:color="auto"/>
              <w:right w:val="single" w:sz="4" w:space="0" w:color="auto"/>
            </w:tcBorders>
            <w:noWrap/>
            <w:vAlign w:val="bottom"/>
          </w:tcPr>
          <w:p w14:paraId="1FFC50E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0.350*</w:t>
            </w:r>
          </w:p>
        </w:tc>
        <w:tc>
          <w:tcPr>
            <w:tcW w:w="1304" w:type="dxa"/>
            <w:tcBorders>
              <w:top w:val="single" w:sz="4" w:space="0" w:color="auto"/>
              <w:left w:val="single" w:sz="4" w:space="0" w:color="auto"/>
              <w:bottom w:val="single" w:sz="4" w:space="0" w:color="auto"/>
              <w:right w:val="single" w:sz="4" w:space="0" w:color="auto"/>
            </w:tcBorders>
            <w:noWrap/>
            <w:vAlign w:val="bottom"/>
          </w:tcPr>
          <w:p w14:paraId="2DB78C8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-0.278</w:t>
            </w:r>
          </w:p>
        </w:tc>
        <w:tc>
          <w:tcPr>
            <w:tcW w:w="1169" w:type="dxa"/>
            <w:tcBorders>
              <w:top w:val="single" w:sz="4" w:space="0" w:color="auto"/>
              <w:left w:val="single" w:sz="4" w:space="0" w:color="auto"/>
              <w:bottom w:val="single" w:sz="4" w:space="0" w:color="auto"/>
              <w:right w:val="single" w:sz="4" w:space="0" w:color="auto"/>
            </w:tcBorders>
            <w:noWrap/>
            <w:vAlign w:val="bottom"/>
          </w:tcPr>
          <w:p w14:paraId="7596C0C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0.553**</w:t>
            </w:r>
          </w:p>
        </w:tc>
        <w:tc>
          <w:tcPr>
            <w:tcW w:w="1389" w:type="dxa"/>
            <w:tcBorders>
              <w:top w:val="single" w:sz="4" w:space="0" w:color="auto"/>
              <w:left w:val="single" w:sz="4" w:space="0" w:color="auto"/>
              <w:bottom w:val="single" w:sz="4" w:space="0" w:color="auto"/>
              <w:right w:val="single" w:sz="4" w:space="0" w:color="auto"/>
            </w:tcBorders>
            <w:noWrap/>
            <w:vAlign w:val="bottom"/>
          </w:tcPr>
          <w:p w14:paraId="336E72CD"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0.361</w:t>
            </w:r>
          </w:p>
        </w:tc>
      </w:tr>
      <w:tr w:rsidR="00D55B26" w:rsidRPr="00C16329" w14:paraId="29C48163"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B355DD6"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795DCA4F" w14:textId="77777777" w:rsidR="00D55B26" w:rsidRPr="0093531D" w:rsidRDefault="00D55B26" w:rsidP="00C24955">
            <w:pPr>
              <w:jc w:val="center"/>
              <w:rPr>
                <w:sz w:val="20"/>
                <w:szCs w:val="20"/>
              </w:rPr>
            </w:pPr>
            <w:r w:rsidRPr="0093531D">
              <w:rPr>
                <w:sz w:val="20"/>
                <w:szCs w:val="20"/>
              </w:rPr>
              <w:t>(0.194)</w:t>
            </w:r>
          </w:p>
        </w:tc>
        <w:tc>
          <w:tcPr>
            <w:tcW w:w="1073" w:type="dxa"/>
            <w:tcBorders>
              <w:top w:val="single" w:sz="4" w:space="0" w:color="auto"/>
              <w:left w:val="single" w:sz="4" w:space="0" w:color="auto"/>
              <w:bottom w:val="single" w:sz="4" w:space="0" w:color="auto"/>
              <w:right w:val="single" w:sz="4" w:space="0" w:color="auto"/>
            </w:tcBorders>
            <w:noWrap/>
            <w:vAlign w:val="bottom"/>
          </w:tcPr>
          <w:p w14:paraId="1E27246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(0.194)</w:t>
            </w:r>
          </w:p>
        </w:tc>
        <w:tc>
          <w:tcPr>
            <w:tcW w:w="1304" w:type="dxa"/>
            <w:tcBorders>
              <w:top w:val="single" w:sz="4" w:space="0" w:color="auto"/>
              <w:left w:val="single" w:sz="4" w:space="0" w:color="auto"/>
              <w:bottom w:val="single" w:sz="4" w:space="0" w:color="auto"/>
              <w:right w:val="single" w:sz="4" w:space="0" w:color="auto"/>
            </w:tcBorders>
            <w:noWrap/>
            <w:vAlign w:val="bottom"/>
          </w:tcPr>
          <w:p w14:paraId="5EAB2B1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(0.405)</w:t>
            </w:r>
          </w:p>
        </w:tc>
        <w:tc>
          <w:tcPr>
            <w:tcW w:w="1169" w:type="dxa"/>
            <w:tcBorders>
              <w:top w:val="single" w:sz="4" w:space="0" w:color="auto"/>
              <w:left w:val="single" w:sz="4" w:space="0" w:color="auto"/>
              <w:bottom w:val="single" w:sz="4" w:space="0" w:color="auto"/>
              <w:right w:val="single" w:sz="4" w:space="0" w:color="auto"/>
            </w:tcBorders>
            <w:noWrap/>
            <w:vAlign w:val="bottom"/>
          </w:tcPr>
          <w:p w14:paraId="67A14F1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(0.274)</w:t>
            </w:r>
          </w:p>
        </w:tc>
        <w:tc>
          <w:tcPr>
            <w:tcW w:w="1389" w:type="dxa"/>
            <w:tcBorders>
              <w:top w:val="single" w:sz="4" w:space="0" w:color="auto"/>
              <w:left w:val="single" w:sz="4" w:space="0" w:color="auto"/>
              <w:bottom w:val="single" w:sz="4" w:space="0" w:color="auto"/>
              <w:right w:val="single" w:sz="4" w:space="0" w:color="auto"/>
            </w:tcBorders>
            <w:noWrap/>
            <w:vAlign w:val="bottom"/>
          </w:tcPr>
          <w:p w14:paraId="3263627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(0.356)</w:t>
            </w:r>
          </w:p>
        </w:tc>
      </w:tr>
      <w:tr w:rsidR="00D55B26" w:rsidRPr="00C16329" w14:paraId="2D7F71C2"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72A481DD"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Female</w:t>
            </w:r>
          </w:p>
        </w:tc>
        <w:tc>
          <w:tcPr>
            <w:tcW w:w="1218" w:type="dxa"/>
            <w:tcBorders>
              <w:top w:val="single" w:sz="4" w:space="0" w:color="auto"/>
              <w:left w:val="single" w:sz="4" w:space="0" w:color="auto"/>
              <w:bottom w:val="single" w:sz="4" w:space="0" w:color="auto"/>
              <w:right w:val="single" w:sz="4" w:space="0" w:color="auto"/>
            </w:tcBorders>
            <w:vAlign w:val="bottom"/>
          </w:tcPr>
          <w:p w14:paraId="2C16DF64" w14:textId="77777777" w:rsidR="00D55B26" w:rsidRPr="0093531D" w:rsidRDefault="00D55B26" w:rsidP="00C24955">
            <w:pPr>
              <w:jc w:val="center"/>
              <w:rPr>
                <w:sz w:val="20"/>
                <w:szCs w:val="20"/>
              </w:rPr>
            </w:pPr>
            <w:r w:rsidRPr="0093531D">
              <w:rPr>
                <w:sz w:val="20"/>
                <w:szCs w:val="20"/>
              </w:rPr>
              <w:t>-0.239*</w:t>
            </w:r>
          </w:p>
        </w:tc>
        <w:tc>
          <w:tcPr>
            <w:tcW w:w="1073" w:type="dxa"/>
            <w:tcBorders>
              <w:top w:val="single" w:sz="4" w:space="0" w:color="auto"/>
              <w:left w:val="single" w:sz="4" w:space="0" w:color="auto"/>
              <w:bottom w:val="single" w:sz="4" w:space="0" w:color="auto"/>
              <w:right w:val="single" w:sz="4" w:space="0" w:color="auto"/>
            </w:tcBorders>
            <w:noWrap/>
            <w:vAlign w:val="bottom"/>
          </w:tcPr>
          <w:p w14:paraId="0484CC9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-0.261*</w:t>
            </w:r>
          </w:p>
        </w:tc>
        <w:tc>
          <w:tcPr>
            <w:tcW w:w="1304" w:type="dxa"/>
            <w:tcBorders>
              <w:top w:val="single" w:sz="4" w:space="0" w:color="auto"/>
              <w:left w:val="single" w:sz="4" w:space="0" w:color="auto"/>
              <w:bottom w:val="single" w:sz="4" w:space="0" w:color="auto"/>
              <w:right w:val="single" w:sz="4" w:space="0" w:color="auto"/>
            </w:tcBorders>
            <w:noWrap/>
            <w:vAlign w:val="bottom"/>
          </w:tcPr>
          <w:p w14:paraId="75A92E0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-0.00341</w:t>
            </w:r>
          </w:p>
        </w:tc>
        <w:tc>
          <w:tcPr>
            <w:tcW w:w="1169" w:type="dxa"/>
            <w:tcBorders>
              <w:top w:val="single" w:sz="4" w:space="0" w:color="auto"/>
              <w:left w:val="single" w:sz="4" w:space="0" w:color="auto"/>
              <w:bottom w:val="single" w:sz="4" w:space="0" w:color="auto"/>
              <w:right w:val="single" w:sz="4" w:space="0" w:color="auto"/>
            </w:tcBorders>
            <w:noWrap/>
            <w:vAlign w:val="bottom"/>
          </w:tcPr>
          <w:p w14:paraId="7657510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-0.294</w:t>
            </w:r>
          </w:p>
        </w:tc>
        <w:tc>
          <w:tcPr>
            <w:tcW w:w="1389" w:type="dxa"/>
            <w:tcBorders>
              <w:top w:val="single" w:sz="4" w:space="0" w:color="auto"/>
              <w:left w:val="single" w:sz="4" w:space="0" w:color="auto"/>
              <w:bottom w:val="single" w:sz="4" w:space="0" w:color="auto"/>
              <w:right w:val="single" w:sz="4" w:space="0" w:color="auto"/>
            </w:tcBorders>
            <w:noWrap/>
            <w:vAlign w:val="bottom"/>
          </w:tcPr>
          <w:p w14:paraId="0ECB6F7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-0.244</w:t>
            </w:r>
          </w:p>
        </w:tc>
      </w:tr>
      <w:tr w:rsidR="00D55B26" w:rsidRPr="00C16329" w14:paraId="376B56E0"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0D3BF74C"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508ACD97" w14:textId="77777777" w:rsidR="00D55B26" w:rsidRPr="0093531D" w:rsidRDefault="00D55B26" w:rsidP="00C24955">
            <w:pPr>
              <w:jc w:val="center"/>
              <w:rPr>
                <w:sz w:val="20"/>
                <w:szCs w:val="20"/>
              </w:rPr>
            </w:pPr>
            <w:r w:rsidRPr="0093531D">
              <w:rPr>
                <w:sz w:val="20"/>
                <w:szCs w:val="20"/>
              </w:rPr>
              <w:t>(0.144)</w:t>
            </w:r>
          </w:p>
        </w:tc>
        <w:tc>
          <w:tcPr>
            <w:tcW w:w="1073" w:type="dxa"/>
            <w:tcBorders>
              <w:top w:val="single" w:sz="4" w:space="0" w:color="auto"/>
              <w:left w:val="single" w:sz="4" w:space="0" w:color="auto"/>
              <w:bottom w:val="single" w:sz="4" w:space="0" w:color="auto"/>
              <w:right w:val="single" w:sz="4" w:space="0" w:color="auto"/>
            </w:tcBorders>
            <w:noWrap/>
            <w:vAlign w:val="bottom"/>
          </w:tcPr>
          <w:p w14:paraId="77FDEF6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(0.143)</w:t>
            </w:r>
          </w:p>
        </w:tc>
        <w:tc>
          <w:tcPr>
            <w:tcW w:w="1304" w:type="dxa"/>
            <w:tcBorders>
              <w:top w:val="single" w:sz="4" w:space="0" w:color="auto"/>
              <w:left w:val="single" w:sz="4" w:space="0" w:color="auto"/>
              <w:bottom w:val="single" w:sz="4" w:space="0" w:color="auto"/>
              <w:right w:val="single" w:sz="4" w:space="0" w:color="auto"/>
            </w:tcBorders>
            <w:noWrap/>
            <w:vAlign w:val="bottom"/>
          </w:tcPr>
          <w:p w14:paraId="63D6ECB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(0.279)</w:t>
            </w:r>
          </w:p>
        </w:tc>
        <w:tc>
          <w:tcPr>
            <w:tcW w:w="1169" w:type="dxa"/>
            <w:tcBorders>
              <w:top w:val="single" w:sz="4" w:space="0" w:color="auto"/>
              <w:left w:val="single" w:sz="4" w:space="0" w:color="auto"/>
              <w:bottom w:val="single" w:sz="4" w:space="0" w:color="auto"/>
              <w:right w:val="single" w:sz="4" w:space="0" w:color="auto"/>
            </w:tcBorders>
            <w:noWrap/>
            <w:vAlign w:val="bottom"/>
          </w:tcPr>
          <w:p w14:paraId="4743B9F0"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(0.221)</w:t>
            </w:r>
          </w:p>
        </w:tc>
        <w:tc>
          <w:tcPr>
            <w:tcW w:w="1389" w:type="dxa"/>
            <w:tcBorders>
              <w:top w:val="single" w:sz="4" w:space="0" w:color="auto"/>
              <w:left w:val="single" w:sz="4" w:space="0" w:color="auto"/>
              <w:bottom w:val="single" w:sz="4" w:space="0" w:color="auto"/>
              <w:right w:val="single" w:sz="4" w:space="0" w:color="auto"/>
            </w:tcBorders>
            <w:noWrap/>
            <w:vAlign w:val="bottom"/>
          </w:tcPr>
          <w:p w14:paraId="0C41126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(0.263)</w:t>
            </w:r>
          </w:p>
        </w:tc>
      </w:tr>
      <w:tr w:rsidR="00D55B26" w:rsidRPr="00C16329" w14:paraId="139DDD3C"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2BF0B355"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Income</w:t>
            </w:r>
          </w:p>
        </w:tc>
        <w:tc>
          <w:tcPr>
            <w:tcW w:w="1218" w:type="dxa"/>
            <w:tcBorders>
              <w:top w:val="single" w:sz="4" w:space="0" w:color="auto"/>
              <w:left w:val="single" w:sz="4" w:space="0" w:color="auto"/>
              <w:bottom w:val="single" w:sz="4" w:space="0" w:color="auto"/>
              <w:right w:val="single" w:sz="4" w:space="0" w:color="auto"/>
            </w:tcBorders>
            <w:vAlign w:val="bottom"/>
          </w:tcPr>
          <w:p w14:paraId="4C1C8331" w14:textId="77777777" w:rsidR="00D55B26" w:rsidRPr="0093531D" w:rsidRDefault="00D55B26" w:rsidP="00C24955">
            <w:pPr>
              <w:jc w:val="center"/>
              <w:rPr>
                <w:sz w:val="20"/>
                <w:szCs w:val="20"/>
              </w:rPr>
            </w:pPr>
            <w:r w:rsidRPr="0093531D">
              <w:rPr>
                <w:sz w:val="20"/>
                <w:szCs w:val="20"/>
              </w:rPr>
              <w:t>-0.00550</w:t>
            </w:r>
          </w:p>
        </w:tc>
        <w:tc>
          <w:tcPr>
            <w:tcW w:w="1073" w:type="dxa"/>
            <w:tcBorders>
              <w:top w:val="single" w:sz="4" w:space="0" w:color="auto"/>
              <w:left w:val="single" w:sz="4" w:space="0" w:color="auto"/>
              <w:bottom w:val="single" w:sz="4" w:space="0" w:color="auto"/>
              <w:right w:val="single" w:sz="4" w:space="0" w:color="auto"/>
            </w:tcBorders>
            <w:noWrap/>
            <w:vAlign w:val="bottom"/>
          </w:tcPr>
          <w:p w14:paraId="7CE1DB4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-0.00261</w:t>
            </w:r>
          </w:p>
        </w:tc>
        <w:tc>
          <w:tcPr>
            <w:tcW w:w="1304" w:type="dxa"/>
            <w:tcBorders>
              <w:top w:val="single" w:sz="4" w:space="0" w:color="auto"/>
              <w:left w:val="single" w:sz="4" w:space="0" w:color="auto"/>
              <w:bottom w:val="single" w:sz="4" w:space="0" w:color="auto"/>
              <w:right w:val="single" w:sz="4" w:space="0" w:color="auto"/>
            </w:tcBorders>
            <w:noWrap/>
            <w:vAlign w:val="bottom"/>
          </w:tcPr>
          <w:p w14:paraId="7FA6CD0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0.209</w:t>
            </w:r>
          </w:p>
        </w:tc>
        <w:tc>
          <w:tcPr>
            <w:tcW w:w="1169" w:type="dxa"/>
            <w:tcBorders>
              <w:top w:val="single" w:sz="4" w:space="0" w:color="auto"/>
              <w:left w:val="single" w:sz="4" w:space="0" w:color="auto"/>
              <w:bottom w:val="single" w:sz="4" w:space="0" w:color="auto"/>
              <w:right w:val="single" w:sz="4" w:space="0" w:color="auto"/>
            </w:tcBorders>
            <w:noWrap/>
            <w:vAlign w:val="bottom"/>
          </w:tcPr>
          <w:p w14:paraId="3D15287D"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-0.179</w:t>
            </w:r>
          </w:p>
        </w:tc>
        <w:tc>
          <w:tcPr>
            <w:tcW w:w="1389" w:type="dxa"/>
            <w:tcBorders>
              <w:top w:val="single" w:sz="4" w:space="0" w:color="auto"/>
              <w:left w:val="single" w:sz="4" w:space="0" w:color="auto"/>
              <w:bottom w:val="single" w:sz="4" w:space="0" w:color="auto"/>
              <w:right w:val="single" w:sz="4" w:space="0" w:color="auto"/>
            </w:tcBorders>
            <w:noWrap/>
            <w:vAlign w:val="bottom"/>
          </w:tcPr>
          <w:p w14:paraId="6FBF293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-0.119</w:t>
            </w:r>
          </w:p>
        </w:tc>
      </w:tr>
      <w:tr w:rsidR="00D55B26" w:rsidRPr="00C16329" w14:paraId="14AF99D7"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2A3CF2C8"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7F3AAE08" w14:textId="77777777" w:rsidR="00D55B26" w:rsidRPr="0093531D" w:rsidRDefault="00D55B26" w:rsidP="00C24955">
            <w:pPr>
              <w:jc w:val="center"/>
              <w:rPr>
                <w:sz w:val="20"/>
                <w:szCs w:val="20"/>
              </w:rPr>
            </w:pPr>
            <w:r w:rsidRPr="0093531D">
              <w:rPr>
                <w:sz w:val="20"/>
                <w:szCs w:val="20"/>
              </w:rPr>
              <w:t>(0.0889)</w:t>
            </w:r>
          </w:p>
        </w:tc>
        <w:tc>
          <w:tcPr>
            <w:tcW w:w="1073" w:type="dxa"/>
            <w:tcBorders>
              <w:top w:val="single" w:sz="4" w:space="0" w:color="auto"/>
              <w:left w:val="single" w:sz="4" w:space="0" w:color="auto"/>
              <w:bottom w:val="single" w:sz="4" w:space="0" w:color="auto"/>
              <w:right w:val="single" w:sz="4" w:space="0" w:color="auto"/>
            </w:tcBorders>
            <w:noWrap/>
            <w:vAlign w:val="bottom"/>
          </w:tcPr>
          <w:p w14:paraId="09335EC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(0.0887)</w:t>
            </w:r>
          </w:p>
        </w:tc>
        <w:tc>
          <w:tcPr>
            <w:tcW w:w="1304" w:type="dxa"/>
            <w:tcBorders>
              <w:top w:val="single" w:sz="4" w:space="0" w:color="auto"/>
              <w:left w:val="single" w:sz="4" w:space="0" w:color="auto"/>
              <w:bottom w:val="single" w:sz="4" w:space="0" w:color="auto"/>
              <w:right w:val="single" w:sz="4" w:space="0" w:color="auto"/>
            </w:tcBorders>
            <w:noWrap/>
            <w:vAlign w:val="bottom"/>
          </w:tcPr>
          <w:p w14:paraId="12C77AC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(0.164)</w:t>
            </w:r>
          </w:p>
        </w:tc>
        <w:tc>
          <w:tcPr>
            <w:tcW w:w="1169" w:type="dxa"/>
            <w:tcBorders>
              <w:top w:val="single" w:sz="4" w:space="0" w:color="auto"/>
              <w:left w:val="single" w:sz="4" w:space="0" w:color="auto"/>
              <w:bottom w:val="single" w:sz="4" w:space="0" w:color="auto"/>
              <w:right w:val="single" w:sz="4" w:space="0" w:color="auto"/>
            </w:tcBorders>
            <w:noWrap/>
            <w:vAlign w:val="bottom"/>
          </w:tcPr>
          <w:p w14:paraId="09BD8AD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(0.142)</w:t>
            </w:r>
          </w:p>
        </w:tc>
        <w:tc>
          <w:tcPr>
            <w:tcW w:w="1389" w:type="dxa"/>
            <w:tcBorders>
              <w:top w:val="single" w:sz="4" w:space="0" w:color="auto"/>
              <w:left w:val="single" w:sz="4" w:space="0" w:color="auto"/>
              <w:bottom w:val="single" w:sz="4" w:space="0" w:color="auto"/>
              <w:right w:val="single" w:sz="4" w:space="0" w:color="auto"/>
            </w:tcBorders>
            <w:noWrap/>
            <w:vAlign w:val="bottom"/>
          </w:tcPr>
          <w:p w14:paraId="4783570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(0.166)</w:t>
            </w:r>
          </w:p>
        </w:tc>
      </w:tr>
      <w:tr w:rsidR="00D55B26" w:rsidRPr="00C16329" w14:paraId="435F5B9F"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2FAD9A35"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Knowledge</w:t>
            </w:r>
          </w:p>
        </w:tc>
        <w:tc>
          <w:tcPr>
            <w:tcW w:w="1218" w:type="dxa"/>
            <w:tcBorders>
              <w:top w:val="single" w:sz="4" w:space="0" w:color="auto"/>
              <w:left w:val="single" w:sz="4" w:space="0" w:color="auto"/>
              <w:bottom w:val="single" w:sz="4" w:space="0" w:color="auto"/>
              <w:right w:val="single" w:sz="4" w:space="0" w:color="auto"/>
            </w:tcBorders>
            <w:vAlign w:val="bottom"/>
          </w:tcPr>
          <w:p w14:paraId="3201B993" w14:textId="77777777" w:rsidR="00D55B26" w:rsidRPr="0093531D" w:rsidRDefault="00D55B26" w:rsidP="00C24955">
            <w:pPr>
              <w:jc w:val="center"/>
              <w:rPr>
                <w:sz w:val="20"/>
                <w:szCs w:val="20"/>
              </w:rPr>
            </w:pPr>
            <w:r w:rsidRPr="0093531D">
              <w:rPr>
                <w:sz w:val="20"/>
                <w:szCs w:val="20"/>
              </w:rPr>
              <w:t>-0.199</w:t>
            </w:r>
          </w:p>
        </w:tc>
        <w:tc>
          <w:tcPr>
            <w:tcW w:w="1073" w:type="dxa"/>
            <w:tcBorders>
              <w:top w:val="single" w:sz="4" w:space="0" w:color="auto"/>
              <w:left w:val="single" w:sz="4" w:space="0" w:color="auto"/>
              <w:bottom w:val="single" w:sz="4" w:space="0" w:color="auto"/>
              <w:right w:val="single" w:sz="4" w:space="0" w:color="auto"/>
            </w:tcBorders>
            <w:noWrap/>
            <w:vAlign w:val="bottom"/>
          </w:tcPr>
          <w:p w14:paraId="0738F97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-0.164</w:t>
            </w:r>
          </w:p>
        </w:tc>
        <w:tc>
          <w:tcPr>
            <w:tcW w:w="1304" w:type="dxa"/>
            <w:tcBorders>
              <w:top w:val="single" w:sz="4" w:space="0" w:color="auto"/>
              <w:left w:val="single" w:sz="4" w:space="0" w:color="auto"/>
              <w:bottom w:val="single" w:sz="4" w:space="0" w:color="auto"/>
              <w:right w:val="single" w:sz="4" w:space="0" w:color="auto"/>
            </w:tcBorders>
            <w:noWrap/>
            <w:vAlign w:val="bottom"/>
          </w:tcPr>
          <w:p w14:paraId="2FC74BDC"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0.147</w:t>
            </w:r>
          </w:p>
        </w:tc>
        <w:tc>
          <w:tcPr>
            <w:tcW w:w="1169" w:type="dxa"/>
            <w:tcBorders>
              <w:top w:val="single" w:sz="4" w:space="0" w:color="auto"/>
              <w:left w:val="single" w:sz="4" w:space="0" w:color="auto"/>
              <w:bottom w:val="single" w:sz="4" w:space="0" w:color="auto"/>
              <w:right w:val="single" w:sz="4" w:space="0" w:color="auto"/>
            </w:tcBorders>
            <w:noWrap/>
            <w:vAlign w:val="bottom"/>
          </w:tcPr>
          <w:p w14:paraId="0BB5F38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-0.527</w:t>
            </w:r>
          </w:p>
        </w:tc>
        <w:tc>
          <w:tcPr>
            <w:tcW w:w="1389" w:type="dxa"/>
            <w:tcBorders>
              <w:top w:val="single" w:sz="4" w:space="0" w:color="auto"/>
              <w:left w:val="single" w:sz="4" w:space="0" w:color="auto"/>
              <w:bottom w:val="single" w:sz="4" w:space="0" w:color="auto"/>
              <w:right w:val="single" w:sz="4" w:space="0" w:color="auto"/>
            </w:tcBorders>
            <w:noWrap/>
            <w:vAlign w:val="bottom"/>
          </w:tcPr>
          <w:p w14:paraId="5E4CCCF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-0.844*</w:t>
            </w:r>
          </w:p>
        </w:tc>
      </w:tr>
      <w:tr w:rsidR="00D55B26" w:rsidRPr="00C16329" w14:paraId="14BFCA7C"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3C4AB855"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198E58FE" w14:textId="77777777" w:rsidR="00D55B26" w:rsidRPr="0093531D" w:rsidRDefault="00D55B26" w:rsidP="00C24955">
            <w:pPr>
              <w:jc w:val="center"/>
              <w:rPr>
                <w:sz w:val="20"/>
                <w:szCs w:val="20"/>
              </w:rPr>
            </w:pPr>
            <w:r w:rsidRPr="0093531D">
              <w:rPr>
                <w:sz w:val="20"/>
                <w:szCs w:val="20"/>
              </w:rPr>
              <w:t>(0.256)</w:t>
            </w:r>
          </w:p>
        </w:tc>
        <w:tc>
          <w:tcPr>
            <w:tcW w:w="1073" w:type="dxa"/>
            <w:tcBorders>
              <w:top w:val="single" w:sz="4" w:space="0" w:color="auto"/>
              <w:left w:val="single" w:sz="4" w:space="0" w:color="auto"/>
              <w:bottom w:val="single" w:sz="4" w:space="0" w:color="auto"/>
              <w:right w:val="single" w:sz="4" w:space="0" w:color="auto"/>
            </w:tcBorders>
            <w:noWrap/>
            <w:vAlign w:val="bottom"/>
          </w:tcPr>
          <w:p w14:paraId="04F8C00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(0.256)</w:t>
            </w:r>
          </w:p>
        </w:tc>
        <w:tc>
          <w:tcPr>
            <w:tcW w:w="1304" w:type="dxa"/>
            <w:tcBorders>
              <w:top w:val="single" w:sz="4" w:space="0" w:color="auto"/>
              <w:left w:val="single" w:sz="4" w:space="0" w:color="auto"/>
              <w:bottom w:val="single" w:sz="4" w:space="0" w:color="auto"/>
              <w:right w:val="single" w:sz="4" w:space="0" w:color="auto"/>
            </w:tcBorders>
            <w:noWrap/>
            <w:vAlign w:val="bottom"/>
          </w:tcPr>
          <w:p w14:paraId="55EB5F0D"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(0.503)</w:t>
            </w:r>
          </w:p>
        </w:tc>
        <w:tc>
          <w:tcPr>
            <w:tcW w:w="1169" w:type="dxa"/>
            <w:tcBorders>
              <w:top w:val="single" w:sz="4" w:space="0" w:color="auto"/>
              <w:left w:val="single" w:sz="4" w:space="0" w:color="auto"/>
              <w:bottom w:val="single" w:sz="4" w:space="0" w:color="auto"/>
              <w:right w:val="single" w:sz="4" w:space="0" w:color="auto"/>
            </w:tcBorders>
            <w:noWrap/>
            <w:vAlign w:val="bottom"/>
          </w:tcPr>
          <w:p w14:paraId="41AA4A6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(0.432)</w:t>
            </w:r>
          </w:p>
        </w:tc>
        <w:tc>
          <w:tcPr>
            <w:tcW w:w="1389" w:type="dxa"/>
            <w:tcBorders>
              <w:top w:val="single" w:sz="4" w:space="0" w:color="auto"/>
              <w:left w:val="single" w:sz="4" w:space="0" w:color="auto"/>
              <w:bottom w:val="single" w:sz="4" w:space="0" w:color="auto"/>
              <w:right w:val="single" w:sz="4" w:space="0" w:color="auto"/>
            </w:tcBorders>
            <w:noWrap/>
            <w:vAlign w:val="bottom"/>
          </w:tcPr>
          <w:p w14:paraId="3CF4C1E9"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(0.452)</w:t>
            </w:r>
          </w:p>
        </w:tc>
      </w:tr>
      <w:tr w:rsidR="00D55B26" w:rsidRPr="00C16329" w14:paraId="5A76912F"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CC7AB6D"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Corruption</w:t>
            </w:r>
          </w:p>
        </w:tc>
        <w:tc>
          <w:tcPr>
            <w:tcW w:w="1218" w:type="dxa"/>
            <w:tcBorders>
              <w:top w:val="single" w:sz="4" w:space="0" w:color="auto"/>
              <w:left w:val="single" w:sz="4" w:space="0" w:color="auto"/>
              <w:bottom w:val="single" w:sz="4" w:space="0" w:color="auto"/>
              <w:right w:val="single" w:sz="4" w:space="0" w:color="auto"/>
            </w:tcBorders>
            <w:vAlign w:val="bottom"/>
          </w:tcPr>
          <w:p w14:paraId="330826CD" w14:textId="77777777" w:rsidR="00D55B26" w:rsidRPr="0093531D" w:rsidRDefault="00D55B26" w:rsidP="00C24955">
            <w:pPr>
              <w:jc w:val="center"/>
              <w:rPr>
                <w:sz w:val="20"/>
                <w:szCs w:val="20"/>
              </w:rPr>
            </w:pPr>
            <w:r>
              <w:rPr>
                <w:sz w:val="20"/>
                <w:szCs w:val="20"/>
              </w:rPr>
              <w:t>0</w:t>
            </w:r>
            <w:r w:rsidRPr="0093531D">
              <w:rPr>
                <w:sz w:val="20"/>
                <w:szCs w:val="20"/>
              </w:rPr>
              <w:t>.170***</w:t>
            </w:r>
          </w:p>
        </w:tc>
        <w:tc>
          <w:tcPr>
            <w:tcW w:w="1073" w:type="dxa"/>
            <w:tcBorders>
              <w:top w:val="single" w:sz="4" w:space="0" w:color="auto"/>
              <w:left w:val="single" w:sz="4" w:space="0" w:color="auto"/>
              <w:bottom w:val="single" w:sz="4" w:space="0" w:color="auto"/>
              <w:right w:val="single" w:sz="4" w:space="0" w:color="auto"/>
            </w:tcBorders>
            <w:noWrap/>
            <w:vAlign w:val="bottom"/>
          </w:tcPr>
          <w:p w14:paraId="5AC554C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-0.175***</w:t>
            </w:r>
          </w:p>
        </w:tc>
        <w:tc>
          <w:tcPr>
            <w:tcW w:w="1304" w:type="dxa"/>
            <w:tcBorders>
              <w:top w:val="single" w:sz="4" w:space="0" w:color="auto"/>
              <w:left w:val="single" w:sz="4" w:space="0" w:color="auto"/>
              <w:bottom w:val="single" w:sz="4" w:space="0" w:color="auto"/>
              <w:right w:val="single" w:sz="4" w:space="0" w:color="auto"/>
            </w:tcBorders>
            <w:noWrap/>
            <w:vAlign w:val="bottom"/>
          </w:tcPr>
          <w:p w14:paraId="5F5202A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-0.203***</w:t>
            </w:r>
          </w:p>
        </w:tc>
        <w:tc>
          <w:tcPr>
            <w:tcW w:w="1169" w:type="dxa"/>
            <w:tcBorders>
              <w:top w:val="single" w:sz="4" w:space="0" w:color="auto"/>
              <w:left w:val="single" w:sz="4" w:space="0" w:color="auto"/>
              <w:bottom w:val="single" w:sz="4" w:space="0" w:color="auto"/>
              <w:right w:val="single" w:sz="4" w:space="0" w:color="auto"/>
            </w:tcBorders>
            <w:noWrap/>
            <w:vAlign w:val="bottom"/>
          </w:tcPr>
          <w:p w14:paraId="683C888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-0.184***</w:t>
            </w:r>
          </w:p>
        </w:tc>
        <w:tc>
          <w:tcPr>
            <w:tcW w:w="1389" w:type="dxa"/>
            <w:tcBorders>
              <w:top w:val="single" w:sz="4" w:space="0" w:color="auto"/>
              <w:left w:val="single" w:sz="4" w:space="0" w:color="auto"/>
              <w:bottom w:val="single" w:sz="4" w:space="0" w:color="auto"/>
              <w:right w:val="single" w:sz="4" w:space="0" w:color="auto"/>
            </w:tcBorders>
            <w:noWrap/>
            <w:vAlign w:val="bottom"/>
          </w:tcPr>
          <w:p w14:paraId="754E5DEF"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-0.109</w:t>
            </w:r>
          </w:p>
        </w:tc>
      </w:tr>
      <w:tr w:rsidR="00D55B26" w:rsidRPr="00C16329" w14:paraId="401AD7FD"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1AC9F8E"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2671B825" w14:textId="77777777" w:rsidR="00D55B26" w:rsidRPr="0093531D" w:rsidRDefault="00D55B26" w:rsidP="00C24955">
            <w:pPr>
              <w:jc w:val="center"/>
              <w:rPr>
                <w:sz w:val="20"/>
                <w:szCs w:val="20"/>
              </w:rPr>
            </w:pPr>
            <w:r w:rsidRPr="0093531D">
              <w:rPr>
                <w:sz w:val="20"/>
                <w:szCs w:val="20"/>
              </w:rPr>
              <w:t>(0.0393)</w:t>
            </w:r>
          </w:p>
        </w:tc>
        <w:tc>
          <w:tcPr>
            <w:tcW w:w="1073" w:type="dxa"/>
            <w:tcBorders>
              <w:top w:val="single" w:sz="4" w:space="0" w:color="auto"/>
              <w:left w:val="single" w:sz="4" w:space="0" w:color="auto"/>
              <w:bottom w:val="single" w:sz="4" w:space="0" w:color="auto"/>
              <w:right w:val="single" w:sz="4" w:space="0" w:color="auto"/>
            </w:tcBorders>
            <w:noWrap/>
            <w:vAlign w:val="bottom"/>
          </w:tcPr>
          <w:p w14:paraId="73B227B3"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(0.0392)</w:t>
            </w:r>
          </w:p>
        </w:tc>
        <w:tc>
          <w:tcPr>
            <w:tcW w:w="1304" w:type="dxa"/>
            <w:tcBorders>
              <w:top w:val="single" w:sz="4" w:space="0" w:color="auto"/>
              <w:left w:val="single" w:sz="4" w:space="0" w:color="auto"/>
              <w:bottom w:val="single" w:sz="4" w:space="0" w:color="auto"/>
              <w:right w:val="single" w:sz="4" w:space="0" w:color="auto"/>
            </w:tcBorders>
            <w:noWrap/>
            <w:vAlign w:val="bottom"/>
          </w:tcPr>
          <w:p w14:paraId="14A9EA14"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(0.0747)</w:t>
            </w:r>
          </w:p>
        </w:tc>
        <w:tc>
          <w:tcPr>
            <w:tcW w:w="1169" w:type="dxa"/>
            <w:tcBorders>
              <w:top w:val="single" w:sz="4" w:space="0" w:color="auto"/>
              <w:left w:val="single" w:sz="4" w:space="0" w:color="auto"/>
              <w:bottom w:val="single" w:sz="4" w:space="0" w:color="auto"/>
              <w:right w:val="single" w:sz="4" w:space="0" w:color="auto"/>
            </w:tcBorders>
            <w:noWrap/>
            <w:vAlign w:val="bottom"/>
          </w:tcPr>
          <w:p w14:paraId="5585B20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(0.0597)</w:t>
            </w:r>
          </w:p>
        </w:tc>
        <w:tc>
          <w:tcPr>
            <w:tcW w:w="1389" w:type="dxa"/>
            <w:tcBorders>
              <w:top w:val="single" w:sz="4" w:space="0" w:color="auto"/>
              <w:left w:val="single" w:sz="4" w:space="0" w:color="auto"/>
              <w:bottom w:val="single" w:sz="4" w:space="0" w:color="auto"/>
              <w:right w:val="single" w:sz="4" w:space="0" w:color="auto"/>
            </w:tcBorders>
            <w:noWrap/>
            <w:vAlign w:val="bottom"/>
          </w:tcPr>
          <w:p w14:paraId="050C335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(0.0744)</w:t>
            </w:r>
          </w:p>
        </w:tc>
      </w:tr>
      <w:tr w:rsidR="00D55B26" w:rsidRPr="00C16329" w14:paraId="6979A455"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60DCEC03"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Constant</w:t>
            </w:r>
          </w:p>
        </w:tc>
        <w:tc>
          <w:tcPr>
            <w:tcW w:w="1218" w:type="dxa"/>
            <w:tcBorders>
              <w:top w:val="single" w:sz="4" w:space="0" w:color="auto"/>
              <w:left w:val="single" w:sz="4" w:space="0" w:color="auto"/>
              <w:bottom w:val="single" w:sz="4" w:space="0" w:color="auto"/>
              <w:right w:val="single" w:sz="4" w:space="0" w:color="auto"/>
            </w:tcBorders>
            <w:vAlign w:val="bottom"/>
          </w:tcPr>
          <w:p w14:paraId="16570689" w14:textId="77777777" w:rsidR="00D55B26" w:rsidRPr="0093531D" w:rsidRDefault="00D55B26" w:rsidP="00C24955">
            <w:pPr>
              <w:jc w:val="center"/>
              <w:rPr>
                <w:sz w:val="20"/>
                <w:szCs w:val="20"/>
              </w:rPr>
            </w:pPr>
            <w:r w:rsidRPr="0093531D">
              <w:rPr>
                <w:sz w:val="20"/>
                <w:szCs w:val="20"/>
              </w:rPr>
              <w:t>6.069***</w:t>
            </w:r>
          </w:p>
        </w:tc>
        <w:tc>
          <w:tcPr>
            <w:tcW w:w="1073" w:type="dxa"/>
            <w:tcBorders>
              <w:top w:val="single" w:sz="4" w:space="0" w:color="auto"/>
              <w:left w:val="single" w:sz="4" w:space="0" w:color="auto"/>
              <w:bottom w:val="single" w:sz="4" w:space="0" w:color="auto"/>
              <w:right w:val="single" w:sz="4" w:space="0" w:color="auto"/>
            </w:tcBorders>
            <w:noWrap/>
            <w:vAlign w:val="bottom"/>
          </w:tcPr>
          <w:p w14:paraId="23A2684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6.547***</w:t>
            </w:r>
          </w:p>
        </w:tc>
        <w:tc>
          <w:tcPr>
            <w:tcW w:w="1304" w:type="dxa"/>
            <w:tcBorders>
              <w:top w:val="single" w:sz="4" w:space="0" w:color="auto"/>
              <w:left w:val="single" w:sz="4" w:space="0" w:color="auto"/>
              <w:bottom w:val="single" w:sz="4" w:space="0" w:color="auto"/>
              <w:right w:val="single" w:sz="4" w:space="0" w:color="auto"/>
            </w:tcBorders>
            <w:noWrap/>
            <w:vAlign w:val="bottom"/>
          </w:tcPr>
          <w:p w14:paraId="2887093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6.453***</w:t>
            </w:r>
          </w:p>
        </w:tc>
        <w:tc>
          <w:tcPr>
            <w:tcW w:w="1169" w:type="dxa"/>
            <w:tcBorders>
              <w:top w:val="single" w:sz="4" w:space="0" w:color="auto"/>
              <w:left w:val="single" w:sz="4" w:space="0" w:color="auto"/>
              <w:bottom w:val="single" w:sz="4" w:space="0" w:color="auto"/>
              <w:right w:val="single" w:sz="4" w:space="0" w:color="auto"/>
            </w:tcBorders>
            <w:noWrap/>
            <w:vAlign w:val="bottom"/>
          </w:tcPr>
          <w:p w14:paraId="5F7A51C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6.709***</w:t>
            </w:r>
          </w:p>
        </w:tc>
        <w:tc>
          <w:tcPr>
            <w:tcW w:w="1389" w:type="dxa"/>
            <w:tcBorders>
              <w:top w:val="single" w:sz="4" w:space="0" w:color="auto"/>
              <w:left w:val="single" w:sz="4" w:space="0" w:color="auto"/>
              <w:bottom w:val="single" w:sz="4" w:space="0" w:color="auto"/>
              <w:right w:val="single" w:sz="4" w:space="0" w:color="auto"/>
            </w:tcBorders>
            <w:noWrap/>
            <w:vAlign w:val="bottom"/>
          </w:tcPr>
          <w:p w14:paraId="729F6F3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6.432***</w:t>
            </w:r>
          </w:p>
        </w:tc>
      </w:tr>
      <w:tr w:rsidR="00D55B26" w:rsidRPr="00C16329" w14:paraId="21289461"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7AA242B1"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3DE57D22" w14:textId="77777777" w:rsidR="00D55B26" w:rsidRPr="0093531D" w:rsidRDefault="00D55B26" w:rsidP="00C24955">
            <w:pPr>
              <w:jc w:val="center"/>
              <w:rPr>
                <w:sz w:val="20"/>
                <w:szCs w:val="20"/>
              </w:rPr>
            </w:pPr>
            <w:r w:rsidRPr="0093531D">
              <w:rPr>
                <w:sz w:val="20"/>
                <w:szCs w:val="20"/>
              </w:rPr>
              <w:t>(0.404)</w:t>
            </w:r>
          </w:p>
        </w:tc>
        <w:tc>
          <w:tcPr>
            <w:tcW w:w="1073" w:type="dxa"/>
            <w:tcBorders>
              <w:top w:val="single" w:sz="4" w:space="0" w:color="auto"/>
              <w:left w:val="single" w:sz="4" w:space="0" w:color="auto"/>
              <w:bottom w:val="single" w:sz="4" w:space="0" w:color="auto"/>
              <w:right w:val="single" w:sz="4" w:space="0" w:color="auto"/>
            </w:tcBorders>
            <w:noWrap/>
            <w:vAlign w:val="bottom"/>
          </w:tcPr>
          <w:p w14:paraId="27FE4C8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(0.433)</w:t>
            </w:r>
          </w:p>
        </w:tc>
        <w:tc>
          <w:tcPr>
            <w:tcW w:w="1304" w:type="dxa"/>
            <w:tcBorders>
              <w:top w:val="single" w:sz="4" w:space="0" w:color="auto"/>
              <w:left w:val="single" w:sz="4" w:space="0" w:color="auto"/>
              <w:bottom w:val="single" w:sz="4" w:space="0" w:color="auto"/>
              <w:right w:val="single" w:sz="4" w:space="0" w:color="auto"/>
            </w:tcBorders>
            <w:noWrap/>
            <w:vAlign w:val="bottom"/>
          </w:tcPr>
          <w:p w14:paraId="61C9D1D2"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(0.844)</w:t>
            </w:r>
          </w:p>
        </w:tc>
        <w:tc>
          <w:tcPr>
            <w:tcW w:w="1169" w:type="dxa"/>
            <w:tcBorders>
              <w:top w:val="single" w:sz="4" w:space="0" w:color="auto"/>
              <w:left w:val="single" w:sz="4" w:space="0" w:color="auto"/>
              <w:bottom w:val="single" w:sz="4" w:space="0" w:color="auto"/>
              <w:right w:val="single" w:sz="4" w:space="0" w:color="auto"/>
            </w:tcBorders>
            <w:noWrap/>
            <w:vAlign w:val="bottom"/>
          </w:tcPr>
          <w:p w14:paraId="168340C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(0.641)</w:t>
            </w:r>
          </w:p>
        </w:tc>
        <w:tc>
          <w:tcPr>
            <w:tcW w:w="1389" w:type="dxa"/>
            <w:tcBorders>
              <w:top w:val="single" w:sz="4" w:space="0" w:color="auto"/>
              <w:left w:val="single" w:sz="4" w:space="0" w:color="auto"/>
              <w:bottom w:val="single" w:sz="4" w:space="0" w:color="auto"/>
              <w:right w:val="single" w:sz="4" w:space="0" w:color="auto"/>
            </w:tcBorders>
            <w:noWrap/>
            <w:vAlign w:val="bottom"/>
          </w:tcPr>
          <w:p w14:paraId="4458E3D1"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(0.773)</w:t>
            </w:r>
          </w:p>
        </w:tc>
      </w:tr>
      <w:tr w:rsidR="00D55B26" w:rsidRPr="00C16329" w14:paraId="16BE5241"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2CD123B5" w14:textId="77777777" w:rsidR="00D55B26" w:rsidRPr="0093531D" w:rsidRDefault="00D55B26" w:rsidP="00C24955">
            <w:pPr>
              <w:widowControl/>
              <w:suppressAutoHyphens w:val="0"/>
              <w:rPr>
                <w:kern w:val="0"/>
                <w:sz w:val="20"/>
                <w:szCs w:val="20"/>
                <w:lang w:eastAsia="ko-KR"/>
              </w:rPr>
            </w:pPr>
          </w:p>
        </w:tc>
        <w:tc>
          <w:tcPr>
            <w:tcW w:w="1218" w:type="dxa"/>
            <w:tcBorders>
              <w:top w:val="single" w:sz="4" w:space="0" w:color="auto"/>
              <w:left w:val="single" w:sz="4" w:space="0" w:color="auto"/>
              <w:bottom w:val="single" w:sz="4" w:space="0" w:color="auto"/>
              <w:right w:val="single" w:sz="4" w:space="0" w:color="auto"/>
            </w:tcBorders>
            <w:vAlign w:val="bottom"/>
          </w:tcPr>
          <w:p w14:paraId="6E53A1C1" w14:textId="77777777" w:rsidR="00D55B26" w:rsidRPr="0093531D" w:rsidRDefault="00D55B26" w:rsidP="00C24955">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19716280" w14:textId="77777777" w:rsidR="00D55B26" w:rsidRPr="0093531D" w:rsidRDefault="00D55B26" w:rsidP="00C24955">
            <w:pPr>
              <w:widowControl/>
              <w:suppressAutoHyphens w:val="0"/>
              <w:jc w:val="center"/>
              <w:rPr>
                <w:kern w:val="0"/>
                <w:sz w:val="20"/>
                <w:szCs w:val="20"/>
                <w:lang w:eastAsia="ko-KR"/>
              </w:rPr>
            </w:pPr>
          </w:p>
        </w:tc>
        <w:tc>
          <w:tcPr>
            <w:tcW w:w="1304" w:type="dxa"/>
            <w:tcBorders>
              <w:top w:val="single" w:sz="4" w:space="0" w:color="auto"/>
              <w:left w:val="single" w:sz="4" w:space="0" w:color="auto"/>
              <w:bottom w:val="single" w:sz="4" w:space="0" w:color="auto"/>
              <w:right w:val="single" w:sz="4" w:space="0" w:color="auto"/>
            </w:tcBorders>
            <w:noWrap/>
            <w:vAlign w:val="bottom"/>
          </w:tcPr>
          <w:p w14:paraId="2DDC85DE" w14:textId="77777777" w:rsidR="00D55B26" w:rsidRPr="0093531D" w:rsidRDefault="00D55B26" w:rsidP="00C24955">
            <w:pPr>
              <w:widowControl/>
              <w:suppressAutoHyphens w:val="0"/>
              <w:jc w:val="center"/>
              <w:rPr>
                <w:kern w:val="0"/>
                <w:sz w:val="20"/>
                <w:szCs w:val="20"/>
                <w:lang w:eastAsia="ko-KR"/>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0008666D" w14:textId="77777777" w:rsidR="00D55B26" w:rsidRPr="0093531D" w:rsidRDefault="00D55B26" w:rsidP="00C24955">
            <w:pPr>
              <w:widowControl/>
              <w:suppressAutoHyphens w:val="0"/>
              <w:jc w:val="center"/>
              <w:rPr>
                <w:kern w:val="0"/>
                <w:sz w:val="20"/>
                <w:szCs w:val="20"/>
                <w:lang w:eastAsia="ko-KR"/>
              </w:rPr>
            </w:pPr>
          </w:p>
        </w:tc>
        <w:tc>
          <w:tcPr>
            <w:tcW w:w="1389" w:type="dxa"/>
            <w:tcBorders>
              <w:top w:val="single" w:sz="4" w:space="0" w:color="auto"/>
              <w:left w:val="single" w:sz="4" w:space="0" w:color="auto"/>
              <w:bottom w:val="single" w:sz="4" w:space="0" w:color="auto"/>
              <w:right w:val="single" w:sz="4" w:space="0" w:color="auto"/>
            </w:tcBorders>
            <w:noWrap/>
            <w:vAlign w:val="bottom"/>
          </w:tcPr>
          <w:p w14:paraId="5D4E0FBB" w14:textId="77777777" w:rsidR="00D55B26" w:rsidRPr="0093531D" w:rsidRDefault="00D55B26" w:rsidP="00C24955">
            <w:pPr>
              <w:widowControl/>
              <w:suppressAutoHyphens w:val="0"/>
              <w:jc w:val="center"/>
              <w:rPr>
                <w:kern w:val="0"/>
                <w:sz w:val="20"/>
                <w:szCs w:val="20"/>
                <w:lang w:eastAsia="ko-KR"/>
              </w:rPr>
            </w:pPr>
          </w:p>
        </w:tc>
      </w:tr>
      <w:tr w:rsidR="00D55B26" w:rsidRPr="00C16329" w14:paraId="7F6AF34B"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1E663625"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Observations</w:t>
            </w:r>
          </w:p>
        </w:tc>
        <w:tc>
          <w:tcPr>
            <w:tcW w:w="1218" w:type="dxa"/>
            <w:tcBorders>
              <w:top w:val="single" w:sz="4" w:space="0" w:color="auto"/>
              <w:left w:val="single" w:sz="4" w:space="0" w:color="auto"/>
              <w:bottom w:val="single" w:sz="4" w:space="0" w:color="auto"/>
              <w:right w:val="single" w:sz="4" w:space="0" w:color="auto"/>
            </w:tcBorders>
            <w:vAlign w:val="bottom"/>
          </w:tcPr>
          <w:p w14:paraId="5237FB90" w14:textId="77777777" w:rsidR="00D55B26" w:rsidRPr="0093531D" w:rsidRDefault="00D55B26" w:rsidP="00C24955">
            <w:pPr>
              <w:jc w:val="center"/>
              <w:rPr>
                <w:sz w:val="20"/>
                <w:szCs w:val="20"/>
              </w:rPr>
            </w:pPr>
            <w:r w:rsidRPr="0093531D">
              <w:rPr>
                <w:sz w:val="20"/>
                <w:szCs w:val="20"/>
              </w:rPr>
              <w:t>1,442</w:t>
            </w:r>
          </w:p>
        </w:tc>
        <w:tc>
          <w:tcPr>
            <w:tcW w:w="1073" w:type="dxa"/>
            <w:tcBorders>
              <w:top w:val="single" w:sz="4" w:space="0" w:color="auto"/>
              <w:left w:val="single" w:sz="4" w:space="0" w:color="auto"/>
              <w:bottom w:val="single" w:sz="4" w:space="0" w:color="auto"/>
              <w:right w:val="single" w:sz="4" w:space="0" w:color="auto"/>
            </w:tcBorders>
            <w:noWrap/>
            <w:vAlign w:val="bottom"/>
          </w:tcPr>
          <w:p w14:paraId="48BAA026"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1,442</w:t>
            </w:r>
          </w:p>
        </w:tc>
        <w:tc>
          <w:tcPr>
            <w:tcW w:w="1304" w:type="dxa"/>
            <w:tcBorders>
              <w:top w:val="single" w:sz="4" w:space="0" w:color="auto"/>
              <w:left w:val="single" w:sz="4" w:space="0" w:color="auto"/>
              <w:bottom w:val="single" w:sz="4" w:space="0" w:color="auto"/>
              <w:right w:val="single" w:sz="4" w:space="0" w:color="auto"/>
            </w:tcBorders>
            <w:noWrap/>
            <w:vAlign w:val="bottom"/>
          </w:tcPr>
          <w:p w14:paraId="3A9EADAB"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369</w:t>
            </w:r>
          </w:p>
        </w:tc>
        <w:tc>
          <w:tcPr>
            <w:tcW w:w="1169" w:type="dxa"/>
            <w:tcBorders>
              <w:top w:val="single" w:sz="4" w:space="0" w:color="auto"/>
              <w:left w:val="single" w:sz="4" w:space="0" w:color="auto"/>
              <w:bottom w:val="single" w:sz="4" w:space="0" w:color="auto"/>
              <w:right w:val="single" w:sz="4" w:space="0" w:color="auto"/>
            </w:tcBorders>
            <w:noWrap/>
            <w:vAlign w:val="bottom"/>
          </w:tcPr>
          <w:p w14:paraId="7479471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498</w:t>
            </w:r>
          </w:p>
        </w:tc>
        <w:tc>
          <w:tcPr>
            <w:tcW w:w="1389" w:type="dxa"/>
            <w:tcBorders>
              <w:top w:val="single" w:sz="4" w:space="0" w:color="auto"/>
              <w:left w:val="single" w:sz="4" w:space="0" w:color="auto"/>
              <w:bottom w:val="single" w:sz="4" w:space="0" w:color="auto"/>
              <w:right w:val="single" w:sz="4" w:space="0" w:color="auto"/>
            </w:tcBorders>
            <w:noWrap/>
            <w:vAlign w:val="bottom"/>
          </w:tcPr>
          <w:p w14:paraId="6BAA4D78"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417</w:t>
            </w:r>
          </w:p>
        </w:tc>
      </w:tr>
      <w:tr w:rsidR="00D55B26" w:rsidRPr="00C16329" w14:paraId="4782B6D0" w14:textId="77777777" w:rsidTr="008B6040">
        <w:trPr>
          <w:trHeight w:val="255"/>
        </w:trPr>
        <w:tc>
          <w:tcPr>
            <w:tcW w:w="2552" w:type="dxa"/>
            <w:tcBorders>
              <w:top w:val="single" w:sz="4" w:space="0" w:color="auto"/>
              <w:left w:val="single" w:sz="4" w:space="0" w:color="auto"/>
              <w:bottom w:val="single" w:sz="4" w:space="0" w:color="auto"/>
              <w:right w:val="single" w:sz="4" w:space="0" w:color="auto"/>
            </w:tcBorders>
            <w:noWrap/>
            <w:vAlign w:val="bottom"/>
          </w:tcPr>
          <w:p w14:paraId="45048A71"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R-squared</w:t>
            </w:r>
          </w:p>
        </w:tc>
        <w:tc>
          <w:tcPr>
            <w:tcW w:w="1218" w:type="dxa"/>
            <w:tcBorders>
              <w:top w:val="single" w:sz="4" w:space="0" w:color="auto"/>
              <w:left w:val="single" w:sz="4" w:space="0" w:color="auto"/>
              <w:bottom w:val="single" w:sz="4" w:space="0" w:color="auto"/>
              <w:right w:val="single" w:sz="4" w:space="0" w:color="auto"/>
            </w:tcBorders>
            <w:vAlign w:val="bottom"/>
          </w:tcPr>
          <w:p w14:paraId="5A3FF72D" w14:textId="77777777" w:rsidR="00D55B26" w:rsidRPr="0093531D" w:rsidRDefault="00D55B26" w:rsidP="00C24955">
            <w:pPr>
              <w:jc w:val="center"/>
              <w:rPr>
                <w:sz w:val="20"/>
                <w:szCs w:val="20"/>
              </w:rPr>
            </w:pPr>
            <w:r w:rsidRPr="0093531D">
              <w:rPr>
                <w:sz w:val="20"/>
                <w:szCs w:val="20"/>
              </w:rPr>
              <w:t>0.057</w:t>
            </w:r>
          </w:p>
        </w:tc>
        <w:tc>
          <w:tcPr>
            <w:tcW w:w="1073" w:type="dxa"/>
            <w:tcBorders>
              <w:top w:val="single" w:sz="4" w:space="0" w:color="auto"/>
              <w:left w:val="single" w:sz="4" w:space="0" w:color="auto"/>
              <w:bottom w:val="single" w:sz="4" w:space="0" w:color="auto"/>
              <w:right w:val="single" w:sz="4" w:space="0" w:color="auto"/>
            </w:tcBorders>
            <w:noWrap/>
            <w:vAlign w:val="bottom"/>
          </w:tcPr>
          <w:p w14:paraId="62FA694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0.069</w:t>
            </w:r>
          </w:p>
        </w:tc>
        <w:tc>
          <w:tcPr>
            <w:tcW w:w="1304" w:type="dxa"/>
            <w:tcBorders>
              <w:top w:val="single" w:sz="4" w:space="0" w:color="auto"/>
              <w:left w:val="single" w:sz="4" w:space="0" w:color="auto"/>
              <w:bottom w:val="single" w:sz="4" w:space="0" w:color="auto"/>
              <w:right w:val="single" w:sz="4" w:space="0" w:color="auto"/>
            </w:tcBorders>
            <w:noWrap/>
            <w:vAlign w:val="bottom"/>
          </w:tcPr>
          <w:p w14:paraId="3BA623F5"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0.276</w:t>
            </w:r>
          </w:p>
        </w:tc>
        <w:tc>
          <w:tcPr>
            <w:tcW w:w="1169" w:type="dxa"/>
            <w:tcBorders>
              <w:top w:val="single" w:sz="4" w:space="0" w:color="auto"/>
              <w:left w:val="single" w:sz="4" w:space="0" w:color="auto"/>
              <w:bottom w:val="single" w:sz="4" w:space="0" w:color="auto"/>
              <w:right w:val="single" w:sz="4" w:space="0" w:color="auto"/>
            </w:tcBorders>
            <w:noWrap/>
            <w:vAlign w:val="bottom"/>
          </w:tcPr>
          <w:p w14:paraId="6FBE534E"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0.174</w:t>
            </w:r>
          </w:p>
        </w:tc>
        <w:tc>
          <w:tcPr>
            <w:tcW w:w="1389" w:type="dxa"/>
            <w:tcBorders>
              <w:top w:val="single" w:sz="4" w:space="0" w:color="auto"/>
              <w:left w:val="single" w:sz="4" w:space="0" w:color="auto"/>
              <w:bottom w:val="single" w:sz="4" w:space="0" w:color="auto"/>
              <w:right w:val="single" w:sz="4" w:space="0" w:color="auto"/>
            </w:tcBorders>
            <w:noWrap/>
            <w:vAlign w:val="bottom"/>
          </w:tcPr>
          <w:p w14:paraId="738EC75A" w14:textId="77777777" w:rsidR="00D55B26" w:rsidRPr="0093531D" w:rsidRDefault="00D55B26" w:rsidP="00C24955">
            <w:pPr>
              <w:widowControl/>
              <w:suppressAutoHyphens w:val="0"/>
              <w:jc w:val="center"/>
              <w:rPr>
                <w:kern w:val="0"/>
                <w:sz w:val="20"/>
                <w:szCs w:val="20"/>
                <w:lang w:eastAsia="ko-KR"/>
              </w:rPr>
            </w:pPr>
            <w:r w:rsidRPr="0093531D">
              <w:rPr>
                <w:kern w:val="0"/>
                <w:sz w:val="20"/>
                <w:szCs w:val="20"/>
                <w:lang w:eastAsia="ko-KR"/>
              </w:rPr>
              <w:t>0.092</w:t>
            </w:r>
          </w:p>
        </w:tc>
      </w:tr>
      <w:tr w:rsidR="00D55B26" w:rsidRPr="00C16329" w14:paraId="74FEDF42" w14:textId="77777777" w:rsidTr="00E13F67">
        <w:trPr>
          <w:trHeight w:val="255"/>
        </w:trPr>
        <w:tc>
          <w:tcPr>
            <w:tcW w:w="8705" w:type="dxa"/>
            <w:gridSpan w:val="6"/>
            <w:tcBorders>
              <w:top w:val="single" w:sz="4" w:space="0" w:color="auto"/>
              <w:left w:val="single" w:sz="4" w:space="0" w:color="auto"/>
              <w:bottom w:val="single" w:sz="4" w:space="0" w:color="auto"/>
              <w:right w:val="single" w:sz="4" w:space="0" w:color="auto"/>
            </w:tcBorders>
            <w:noWrap/>
            <w:vAlign w:val="bottom"/>
          </w:tcPr>
          <w:p w14:paraId="7CAC31C9" w14:textId="77777777" w:rsidR="00D55B26" w:rsidRPr="0093531D" w:rsidRDefault="00D55B26" w:rsidP="00C24955">
            <w:pPr>
              <w:widowControl/>
              <w:suppressAutoHyphens w:val="0"/>
              <w:rPr>
                <w:kern w:val="0"/>
                <w:sz w:val="20"/>
                <w:szCs w:val="20"/>
                <w:lang w:eastAsia="ko-KR"/>
              </w:rPr>
            </w:pPr>
            <w:r w:rsidRPr="0093531D">
              <w:rPr>
                <w:kern w:val="0"/>
                <w:sz w:val="20"/>
                <w:szCs w:val="20"/>
                <w:lang w:eastAsia="ko-KR"/>
              </w:rPr>
              <w:t>Standard errors in parentheses; *** p&lt;0.01, ** p&lt; 0.05, * p&lt; 0.1</w:t>
            </w:r>
          </w:p>
        </w:tc>
      </w:tr>
    </w:tbl>
    <w:p w14:paraId="70C7CEE6" w14:textId="77777777" w:rsidR="00D55B26" w:rsidRPr="00C16329" w:rsidRDefault="00D55B26" w:rsidP="00D55B26">
      <w:pPr>
        <w:pageBreakBefore/>
        <w:jc w:val="center"/>
        <w:rPr>
          <w:b/>
          <w:sz w:val="22"/>
          <w:szCs w:val="22"/>
        </w:rPr>
      </w:pPr>
      <w:r w:rsidRPr="00C16329">
        <w:rPr>
          <w:b/>
          <w:sz w:val="22"/>
          <w:szCs w:val="22"/>
        </w:rPr>
        <w:lastRenderedPageBreak/>
        <w:t xml:space="preserve">Table </w:t>
      </w:r>
      <w:r>
        <w:rPr>
          <w:b/>
          <w:sz w:val="22"/>
          <w:szCs w:val="22"/>
        </w:rPr>
        <w:t>3—P</w:t>
      </w:r>
      <w:r w:rsidRPr="00C16329">
        <w:rPr>
          <w:b/>
          <w:sz w:val="22"/>
          <w:szCs w:val="22"/>
        </w:rPr>
        <w:t xml:space="preserve">redicting </w:t>
      </w:r>
      <w:r>
        <w:rPr>
          <w:b/>
          <w:sz w:val="22"/>
          <w:szCs w:val="22"/>
        </w:rPr>
        <w:t>S</w:t>
      </w:r>
      <w:r w:rsidRPr="00C16329">
        <w:rPr>
          <w:b/>
          <w:sz w:val="22"/>
          <w:szCs w:val="22"/>
        </w:rPr>
        <w:t>upport for Candidate Jones by Treatment (2013)</w:t>
      </w:r>
    </w:p>
    <w:tbl>
      <w:tblPr>
        <w:tblW w:w="8624" w:type="dxa"/>
        <w:tblInd w:w="95" w:type="dxa"/>
        <w:tblLook w:val="00A0" w:firstRow="1" w:lastRow="0" w:firstColumn="1" w:lastColumn="0" w:noHBand="0" w:noVBand="0"/>
      </w:tblPr>
      <w:tblGrid>
        <w:gridCol w:w="2784"/>
        <w:gridCol w:w="1073"/>
        <w:gridCol w:w="1196"/>
        <w:gridCol w:w="1205"/>
        <w:gridCol w:w="1083"/>
        <w:gridCol w:w="1283"/>
      </w:tblGrid>
      <w:tr w:rsidR="00D55B26" w:rsidRPr="00C16329" w14:paraId="03517E2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C594B5C"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tcPr>
          <w:p w14:paraId="48ACE15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Base (All)</w:t>
            </w:r>
          </w:p>
        </w:tc>
        <w:tc>
          <w:tcPr>
            <w:tcW w:w="1196" w:type="dxa"/>
            <w:tcBorders>
              <w:top w:val="single" w:sz="4" w:space="0" w:color="auto"/>
              <w:left w:val="single" w:sz="4" w:space="0" w:color="auto"/>
              <w:bottom w:val="single" w:sz="4" w:space="0" w:color="auto"/>
              <w:right w:val="single" w:sz="4" w:space="0" w:color="auto"/>
            </w:tcBorders>
            <w:noWrap/>
            <w:vAlign w:val="bottom"/>
          </w:tcPr>
          <w:p w14:paraId="2B4E779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All</w:t>
            </w:r>
          </w:p>
        </w:tc>
        <w:tc>
          <w:tcPr>
            <w:tcW w:w="1205" w:type="dxa"/>
            <w:tcBorders>
              <w:top w:val="single" w:sz="4" w:space="0" w:color="auto"/>
              <w:left w:val="single" w:sz="4" w:space="0" w:color="auto"/>
              <w:bottom w:val="single" w:sz="4" w:space="0" w:color="auto"/>
              <w:right w:val="single" w:sz="4" w:space="0" w:color="auto"/>
            </w:tcBorders>
            <w:noWrap/>
            <w:vAlign w:val="bottom"/>
          </w:tcPr>
          <w:p w14:paraId="7C4DB3C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Republicans</w:t>
            </w:r>
          </w:p>
        </w:tc>
        <w:tc>
          <w:tcPr>
            <w:tcW w:w="1083" w:type="dxa"/>
            <w:tcBorders>
              <w:top w:val="single" w:sz="4" w:space="0" w:color="auto"/>
              <w:left w:val="single" w:sz="4" w:space="0" w:color="auto"/>
              <w:bottom w:val="single" w:sz="4" w:space="0" w:color="auto"/>
              <w:right w:val="single" w:sz="4" w:space="0" w:color="auto"/>
            </w:tcBorders>
            <w:noWrap/>
            <w:vAlign w:val="bottom"/>
          </w:tcPr>
          <w:p w14:paraId="4BF73C7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Democrats</w:t>
            </w:r>
          </w:p>
        </w:tc>
        <w:tc>
          <w:tcPr>
            <w:tcW w:w="1283" w:type="dxa"/>
            <w:tcBorders>
              <w:top w:val="single" w:sz="4" w:space="0" w:color="auto"/>
              <w:left w:val="single" w:sz="4" w:space="0" w:color="auto"/>
              <w:bottom w:val="single" w:sz="4" w:space="0" w:color="auto"/>
              <w:right w:val="single" w:sz="4" w:space="0" w:color="auto"/>
            </w:tcBorders>
            <w:noWrap/>
            <w:vAlign w:val="bottom"/>
          </w:tcPr>
          <w:p w14:paraId="66D7E3F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Independents</w:t>
            </w:r>
          </w:p>
        </w:tc>
      </w:tr>
      <w:tr w:rsidR="00D55B26" w:rsidRPr="00C16329" w14:paraId="5007325D"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8618EEF"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Oil</w:t>
            </w:r>
          </w:p>
        </w:tc>
        <w:tc>
          <w:tcPr>
            <w:tcW w:w="1073" w:type="dxa"/>
            <w:tcBorders>
              <w:top w:val="single" w:sz="4" w:space="0" w:color="auto"/>
              <w:left w:val="single" w:sz="4" w:space="0" w:color="auto"/>
              <w:bottom w:val="single" w:sz="4" w:space="0" w:color="auto"/>
              <w:right w:val="single" w:sz="4" w:space="0" w:color="auto"/>
            </w:tcBorders>
            <w:noWrap/>
            <w:vAlign w:val="bottom"/>
          </w:tcPr>
          <w:p w14:paraId="01B54ED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-0.554***</w:t>
            </w:r>
          </w:p>
        </w:tc>
        <w:tc>
          <w:tcPr>
            <w:tcW w:w="1196" w:type="dxa"/>
            <w:tcBorders>
              <w:top w:val="single" w:sz="4" w:space="0" w:color="auto"/>
              <w:left w:val="single" w:sz="4" w:space="0" w:color="auto"/>
              <w:bottom w:val="single" w:sz="4" w:space="0" w:color="auto"/>
              <w:right w:val="single" w:sz="4" w:space="0" w:color="auto"/>
            </w:tcBorders>
            <w:noWrap/>
            <w:vAlign w:val="bottom"/>
          </w:tcPr>
          <w:p w14:paraId="239DE9F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-0.686**</w:t>
            </w:r>
          </w:p>
        </w:tc>
        <w:tc>
          <w:tcPr>
            <w:tcW w:w="1205" w:type="dxa"/>
            <w:tcBorders>
              <w:top w:val="single" w:sz="4" w:space="0" w:color="auto"/>
              <w:left w:val="single" w:sz="4" w:space="0" w:color="auto"/>
              <w:bottom w:val="single" w:sz="4" w:space="0" w:color="auto"/>
              <w:right w:val="single" w:sz="4" w:space="0" w:color="auto"/>
            </w:tcBorders>
            <w:noWrap/>
            <w:vAlign w:val="bottom"/>
          </w:tcPr>
          <w:p w14:paraId="7C2679F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-0.477</w:t>
            </w:r>
          </w:p>
        </w:tc>
        <w:tc>
          <w:tcPr>
            <w:tcW w:w="1083" w:type="dxa"/>
            <w:tcBorders>
              <w:top w:val="single" w:sz="4" w:space="0" w:color="auto"/>
              <w:left w:val="single" w:sz="4" w:space="0" w:color="auto"/>
              <w:bottom w:val="single" w:sz="4" w:space="0" w:color="auto"/>
              <w:right w:val="single" w:sz="4" w:space="0" w:color="auto"/>
            </w:tcBorders>
            <w:noWrap/>
            <w:vAlign w:val="bottom"/>
          </w:tcPr>
          <w:p w14:paraId="6B2298A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0.239</w:t>
            </w:r>
          </w:p>
        </w:tc>
        <w:tc>
          <w:tcPr>
            <w:tcW w:w="1283" w:type="dxa"/>
            <w:tcBorders>
              <w:top w:val="single" w:sz="4" w:space="0" w:color="auto"/>
              <w:left w:val="single" w:sz="4" w:space="0" w:color="auto"/>
              <w:bottom w:val="single" w:sz="4" w:space="0" w:color="auto"/>
              <w:right w:val="single" w:sz="4" w:space="0" w:color="auto"/>
            </w:tcBorders>
            <w:noWrap/>
            <w:vAlign w:val="bottom"/>
          </w:tcPr>
          <w:p w14:paraId="294826D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-1.463***</w:t>
            </w:r>
          </w:p>
        </w:tc>
      </w:tr>
      <w:tr w:rsidR="00D55B26" w:rsidRPr="00C16329" w14:paraId="4BF741AC"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F240A54"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64AD0B9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(0.171)</w:t>
            </w:r>
          </w:p>
        </w:tc>
        <w:tc>
          <w:tcPr>
            <w:tcW w:w="1196" w:type="dxa"/>
            <w:tcBorders>
              <w:top w:val="single" w:sz="4" w:space="0" w:color="auto"/>
              <w:left w:val="single" w:sz="4" w:space="0" w:color="auto"/>
              <w:bottom w:val="single" w:sz="4" w:space="0" w:color="auto"/>
              <w:right w:val="single" w:sz="4" w:space="0" w:color="auto"/>
            </w:tcBorders>
            <w:noWrap/>
            <w:vAlign w:val="bottom"/>
          </w:tcPr>
          <w:p w14:paraId="5DA34A5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(0.298)</w:t>
            </w:r>
          </w:p>
        </w:tc>
        <w:tc>
          <w:tcPr>
            <w:tcW w:w="1205" w:type="dxa"/>
            <w:tcBorders>
              <w:top w:val="single" w:sz="4" w:space="0" w:color="auto"/>
              <w:left w:val="single" w:sz="4" w:space="0" w:color="auto"/>
              <w:bottom w:val="single" w:sz="4" w:space="0" w:color="auto"/>
              <w:right w:val="single" w:sz="4" w:space="0" w:color="auto"/>
            </w:tcBorders>
            <w:noWrap/>
            <w:vAlign w:val="bottom"/>
          </w:tcPr>
          <w:p w14:paraId="5C68EB2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(0.554)</w:t>
            </w:r>
          </w:p>
        </w:tc>
        <w:tc>
          <w:tcPr>
            <w:tcW w:w="1083" w:type="dxa"/>
            <w:tcBorders>
              <w:top w:val="single" w:sz="4" w:space="0" w:color="auto"/>
              <w:left w:val="single" w:sz="4" w:space="0" w:color="auto"/>
              <w:bottom w:val="single" w:sz="4" w:space="0" w:color="auto"/>
              <w:right w:val="single" w:sz="4" w:space="0" w:color="auto"/>
            </w:tcBorders>
            <w:noWrap/>
            <w:vAlign w:val="bottom"/>
          </w:tcPr>
          <w:p w14:paraId="40127D2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(0.484)</w:t>
            </w:r>
          </w:p>
        </w:tc>
        <w:tc>
          <w:tcPr>
            <w:tcW w:w="1283" w:type="dxa"/>
            <w:tcBorders>
              <w:top w:val="single" w:sz="4" w:space="0" w:color="auto"/>
              <w:left w:val="single" w:sz="4" w:space="0" w:color="auto"/>
              <w:bottom w:val="single" w:sz="4" w:space="0" w:color="auto"/>
              <w:right w:val="single" w:sz="4" w:space="0" w:color="auto"/>
            </w:tcBorders>
            <w:noWrap/>
            <w:vAlign w:val="bottom"/>
          </w:tcPr>
          <w:p w14:paraId="205730C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(0.452)</w:t>
            </w:r>
          </w:p>
        </w:tc>
      </w:tr>
      <w:tr w:rsidR="00D55B26" w:rsidRPr="00C16329" w14:paraId="3F9164AC"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79F353B"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Green energy</w:t>
            </w:r>
          </w:p>
        </w:tc>
        <w:tc>
          <w:tcPr>
            <w:tcW w:w="1073" w:type="dxa"/>
            <w:tcBorders>
              <w:top w:val="single" w:sz="4" w:space="0" w:color="auto"/>
              <w:left w:val="single" w:sz="4" w:space="0" w:color="auto"/>
              <w:bottom w:val="single" w:sz="4" w:space="0" w:color="auto"/>
              <w:right w:val="single" w:sz="4" w:space="0" w:color="auto"/>
            </w:tcBorders>
            <w:noWrap/>
            <w:vAlign w:val="bottom"/>
          </w:tcPr>
          <w:p w14:paraId="61C9F8C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-0.335*</w:t>
            </w:r>
          </w:p>
        </w:tc>
        <w:tc>
          <w:tcPr>
            <w:tcW w:w="1196" w:type="dxa"/>
            <w:tcBorders>
              <w:top w:val="single" w:sz="4" w:space="0" w:color="auto"/>
              <w:left w:val="single" w:sz="4" w:space="0" w:color="auto"/>
              <w:bottom w:val="single" w:sz="4" w:space="0" w:color="auto"/>
              <w:right w:val="single" w:sz="4" w:space="0" w:color="auto"/>
            </w:tcBorders>
            <w:noWrap/>
            <w:vAlign w:val="bottom"/>
          </w:tcPr>
          <w:p w14:paraId="1C5A4DD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-0.174</w:t>
            </w:r>
          </w:p>
        </w:tc>
        <w:tc>
          <w:tcPr>
            <w:tcW w:w="1205" w:type="dxa"/>
            <w:tcBorders>
              <w:top w:val="single" w:sz="4" w:space="0" w:color="auto"/>
              <w:left w:val="single" w:sz="4" w:space="0" w:color="auto"/>
              <w:bottom w:val="single" w:sz="4" w:space="0" w:color="auto"/>
              <w:right w:val="single" w:sz="4" w:space="0" w:color="auto"/>
            </w:tcBorders>
            <w:noWrap/>
            <w:vAlign w:val="bottom"/>
          </w:tcPr>
          <w:p w14:paraId="4F69705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-1.924***</w:t>
            </w:r>
          </w:p>
        </w:tc>
        <w:tc>
          <w:tcPr>
            <w:tcW w:w="1083" w:type="dxa"/>
            <w:tcBorders>
              <w:top w:val="single" w:sz="4" w:space="0" w:color="auto"/>
              <w:left w:val="single" w:sz="4" w:space="0" w:color="auto"/>
              <w:bottom w:val="single" w:sz="4" w:space="0" w:color="auto"/>
              <w:right w:val="single" w:sz="4" w:space="0" w:color="auto"/>
            </w:tcBorders>
            <w:noWrap/>
            <w:vAlign w:val="bottom"/>
          </w:tcPr>
          <w:p w14:paraId="1B06E89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1.801***</w:t>
            </w:r>
          </w:p>
        </w:tc>
        <w:tc>
          <w:tcPr>
            <w:tcW w:w="1283" w:type="dxa"/>
            <w:tcBorders>
              <w:top w:val="single" w:sz="4" w:space="0" w:color="auto"/>
              <w:left w:val="single" w:sz="4" w:space="0" w:color="auto"/>
              <w:bottom w:val="single" w:sz="4" w:space="0" w:color="auto"/>
              <w:right w:val="single" w:sz="4" w:space="0" w:color="auto"/>
            </w:tcBorders>
            <w:noWrap/>
            <w:vAlign w:val="bottom"/>
          </w:tcPr>
          <w:p w14:paraId="731674F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-0.545</w:t>
            </w:r>
          </w:p>
        </w:tc>
      </w:tr>
      <w:tr w:rsidR="00D55B26" w:rsidRPr="00C16329" w14:paraId="4B42A78F"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7CFDE98"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0C9B4B5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(0.171)</w:t>
            </w:r>
          </w:p>
        </w:tc>
        <w:tc>
          <w:tcPr>
            <w:tcW w:w="1196" w:type="dxa"/>
            <w:tcBorders>
              <w:top w:val="single" w:sz="4" w:space="0" w:color="auto"/>
              <w:left w:val="single" w:sz="4" w:space="0" w:color="auto"/>
              <w:bottom w:val="single" w:sz="4" w:space="0" w:color="auto"/>
              <w:right w:val="single" w:sz="4" w:space="0" w:color="auto"/>
            </w:tcBorders>
            <w:noWrap/>
            <w:vAlign w:val="bottom"/>
          </w:tcPr>
          <w:p w14:paraId="3CA5B4C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(0.301)</w:t>
            </w:r>
          </w:p>
        </w:tc>
        <w:tc>
          <w:tcPr>
            <w:tcW w:w="1205" w:type="dxa"/>
            <w:tcBorders>
              <w:top w:val="single" w:sz="4" w:space="0" w:color="auto"/>
              <w:left w:val="single" w:sz="4" w:space="0" w:color="auto"/>
              <w:bottom w:val="single" w:sz="4" w:space="0" w:color="auto"/>
              <w:right w:val="single" w:sz="4" w:space="0" w:color="auto"/>
            </w:tcBorders>
            <w:noWrap/>
            <w:vAlign w:val="bottom"/>
          </w:tcPr>
          <w:p w14:paraId="3C13FE6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(0.583)</w:t>
            </w:r>
          </w:p>
        </w:tc>
        <w:tc>
          <w:tcPr>
            <w:tcW w:w="1083" w:type="dxa"/>
            <w:tcBorders>
              <w:top w:val="single" w:sz="4" w:space="0" w:color="auto"/>
              <w:left w:val="single" w:sz="4" w:space="0" w:color="auto"/>
              <w:bottom w:val="single" w:sz="4" w:space="0" w:color="auto"/>
              <w:right w:val="single" w:sz="4" w:space="0" w:color="auto"/>
            </w:tcBorders>
            <w:noWrap/>
            <w:vAlign w:val="bottom"/>
          </w:tcPr>
          <w:p w14:paraId="6614327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(0.502)</w:t>
            </w:r>
          </w:p>
        </w:tc>
        <w:tc>
          <w:tcPr>
            <w:tcW w:w="1283" w:type="dxa"/>
            <w:tcBorders>
              <w:top w:val="single" w:sz="4" w:space="0" w:color="auto"/>
              <w:left w:val="single" w:sz="4" w:space="0" w:color="auto"/>
              <w:bottom w:val="single" w:sz="4" w:space="0" w:color="auto"/>
              <w:right w:val="single" w:sz="4" w:space="0" w:color="auto"/>
            </w:tcBorders>
            <w:noWrap/>
            <w:vAlign w:val="bottom"/>
          </w:tcPr>
          <w:p w14:paraId="2FE04EF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(0.421)</w:t>
            </w:r>
          </w:p>
        </w:tc>
      </w:tr>
      <w:tr w:rsidR="00D55B26" w:rsidRPr="00C16329" w14:paraId="02121B5A"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5722F183"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$20 million</w:t>
            </w:r>
          </w:p>
        </w:tc>
        <w:tc>
          <w:tcPr>
            <w:tcW w:w="1073" w:type="dxa"/>
            <w:tcBorders>
              <w:top w:val="single" w:sz="4" w:space="0" w:color="auto"/>
              <w:left w:val="single" w:sz="4" w:space="0" w:color="auto"/>
              <w:bottom w:val="single" w:sz="4" w:space="0" w:color="auto"/>
              <w:right w:val="single" w:sz="4" w:space="0" w:color="auto"/>
            </w:tcBorders>
            <w:noWrap/>
            <w:vAlign w:val="bottom"/>
          </w:tcPr>
          <w:p w14:paraId="7298234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-0.124</w:t>
            </w:r>
          </w:p>
        </w:tc>
        <w:tc>
          <w:tcPr>
            <w:tcW w:w="1196" w:type="dxa"/>
            <w:tcBorders>
              <w:top w:val="single" w:sz="4" w:space="0" w:color="auto"/>
              <w:left w:val="single" w:sz="4" w:space="0" w:color="auto"/>
              <w:bottom w:val="single" w:sz="4" w:space="0" w:color="auto"/>
              <w:right w:val="single" w:sz="4" w:space="0" w:color="auto"/>
            </w:tcBorders>
            <w:noWrap/>
            <w:vAlign w:val="bottom"/>
          </w:tcPr>
          <w:p w14:paraId="518D475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0.0759</w:t>
            </w:r>
          </w:p>
        </w:tc>
        <w:tc>
          <w:tcPr>
            <w:tcW w:w="1205" w:type="dxa"/>
            <w:tcBorders>
              <w:top w:val="single" w:sz="4" w:space="0" w:color="auto"/>
              <w:left w:val="single" w:sz="4" w:space="0" w:color="auto"/>
              <w:bottom w:val="single" w:sz="4" w:space="0" w:color="auto"/>
              <w:right w:val="single" w:sz="4" w:space="0" w:color="auto"/>
            </w:tcBorders>
            <w:noWrap/>
            <w:vAlign w:val="bottom"/>
          </w:tcPr>
          <w:p w14:paraId="33F6761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0.0715</w:t>
            </w:r>
          </w:p>
        </w:tc>
        <w:tc>
          <w:tcPr>
            <w:tcW w:w="1083" w:type="dxa"/>
            <w:tcBorders>
              <w:top w:val="single" w:sz="4" w:space="0" w:color="auto"/>
              <w:left w:val="single" w:sz="4" w:space="0" w:color="auto"/>
              <w:bottom w:val="single" w:sz="4" w:space="0" w:color="auto"/>
              <w:right w:val="single" w:sz="4" w:space="0" w:color="auto"/>
            </w:tcBorders>
            <w:noWrap/>
            <w:vAlign w:val="bottom"/>
          </w:tcPr>
          <w:p w14:paraId="111D7E5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-0.0788</w:t>
            </w:r>
          </w:p>
        </w:tc>
        <w:tc>
          <w:tcPr>
            <w:tcW w:w="1283" w:type="dxa"/>
            <w:tcBorders>
              <w:top w:val="single" w:sz="4" w:space="0" w:color="auto"/>
              <w:left w:val="single" w:sz="4" w:space="0" w:color="auto"/>
              <w:bottom w:val="single" w:sz="4" w:space="0" w:color="auto"/>
              <w:right w:val="single" w:sz="4" w:space="0" w:color="auto"/>
            </w:tcBorders>
            <w:noWrap/>
            <w:vAlign w:val="bottom"/>
          </w:tcPr>
          <w:p w14:paraId="3384A09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0.209</w:t>
            </w:r>
          </w:p>
        </w:tc>
      </w:tr>
      <w:tr w:rsidR="00D55B26" w:rsidRPr="00C16329" w14:paraId="66ABC6AA"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0BAFF249"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77EEA2E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(0.141)</w:t>
            </w:r>
          </w:p>
        </w:tc>
        <w:tc>
          <w:tcPr>
            <w:tcW w:w="1196" w:type="dxa"/>
            <w:tcBorders>
              <w:top w:val="single" w:sz="4" w:space="0" w:color="auto"/>
              <w:left w:val="single" w:sz="4" w:space="0" w:color="auto"/>
              <w:bottom w:val="single" w:sz="4" w:space="0" w:color="auto"/>
              <w:right w:val="single" w:sz="4" w:space="0" w:color="auto"/>
            </w:tcBorders>
            <w:noWrap/>
            <w:vAlign w:val="bottom"/>
          </w:tcPr>
          <w:p w14:paraId="18EC543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(0.149)</w:t>
            </w:r>
          </w:p>
        </w:tc>
        <w:tc>
          <w:tcPr>
            <w:tcW w:w="1205" w:type="dxa"/>
            <w:tcBorders>
              <w:top w:val="single" w:sz="4" w:space="0" w:color="auto"/>
              <w:left w:val="single" w:sz="4" w:space="0" w:color="auto"/>
              <w:bottom w:val="single" w:sz="4" w:space="0" w:color="auto"/>
              <w:right w:val="single" w:sz="4" w:space="0" w:color="auto"/>
            </w:tcBorders>
            <w:noWrap/>
            <w:vAlign w:val="bottom"/>
          </w:tcPr>
          <w:p w14:paraId="3D67D10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(0.286)</w:t>
            </w:r>
          </w:p>
        </w:tc>
        <w:tc>
          <w:tcPr>
            <w:tcW w:w="1083" w:type="dxa"/>
            <w:tcBorders>
              <w:top w:val="single" w:sz="4" w:space="0" w:color="auto"/>
              <w:left w:val="single" w:sz="4" w:space="0" w:color="auto"/>
              <w:bottom w:val="single" w:sz="4" w:space="0" w:color="auto"/>
              <w:right w:val="single" w:sz="4" w:space="0" w:color="auto"/>
            </w:tcBorders>
            <w:noWrap/>
            <w:vAlign w:val="bottom"/>
          </w:tcPr>
          <w:p w14:paraId="52CA7D2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(0.232)</w:t>
            </w:r>
          </w:p>
        </w:tc>
        <w:tc>
          <w:tcPr>
            <w:tcW w:w="1283" w:type="dxa"/>
            <w:tcBorders>
              <w:top w:val="single" w:sz="4" w:space="0" w:color="auto"/>
              <w:left w:val="single" w:sz="4" w:space="0" w:color="auto"/>
              <w:bottom w:val="single" w:sz="4" w:space="0" w:color="auto"/>
              <w:right w:val="single" w:sz="4" w:space="0" w:color="auto"/>
            </w:tcBorders>
            <w:noWrap/>
            <w:vAlign w:val="bottom"/>
          </w:tcPr>
          <w:p w14:paraId="3D2F9D2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(0.224)</w:t>
            </w:r>
          </w:p>
        </w:tc>
      </w:tr>
      <w:tr w:rsidR="00D55B26" w:rsidRPr="00C16329" w14:paraId="41DCA07B"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6F15321"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Republican</w:t>
            </w:r>
          </w:p>
        </w:tc>
        <w:tc>
          <w:tcPr>
            <w:tcW w:w="1073" w:type="dxa"/>
            <w:tcBorders>
              <w:top w:val="single" w:sz="4" w:space="0" w:color="auto"/>
              <w:left w:val="single" w:sz="4" w:space="0" w:color="auto"/>
              <w:bottom w:val="single" w:sz="4" w:space="0" w:color="auto"/>
              <w:right w:val="single" w:sz="4" w:space="0" w:color="auto"/>
            </w:tcBorders>
            <w:noWrap/>
            <w:vAlign w:val="bottom"/>
          </w:tcPr>
          <w:p w14:paraId="530EFDF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-0.395**</w:t>
            </w:r>
          </w:p>
        </w:tc>
        <w:tc>
          <w:tcPr>
            <w:tcW w:w="1196" w:type="dxa"/>
            <w:tcBorders>
              <w:top w:val="single" w:sz="4" w:space="0" w:color="auto"/>
              <w:left w:val="single" w:sz="4" w:space="0" w:color="auto"/>
              <w:bottom w:val="single" w:sz="4" w:space="0" w:color="auto"/>
              <w:right w:val="single" w:sz="4" w:space="0" w:color="auto"/>
            </w:tcBorders>
            <w:noWrap/>
            <w:vAlign w:val="bottom"/>
          </w:tcPr>
          <w:p w14:paraId="0132CD6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-0.353</w:t>
            </w:r>
          </w:p>
        </w:tc>
        <w:tc>
          <w:tcPr>
            <w:tcW w:w="1205" w:type="dxa"/>
            <w:tcBorders>
              <w:top w:val="single" w:sz="4" w:space="0" w:color="auto"/>
              <w:left w:val="single" w:sz="4" w:space="0" w:color="auto"/>
              <w:bottom w:val="single" w:sz="4" w:space="0" w:color="auto"/>
              <w:right w:val="single" w:sz="4" w:space="0" w:color="auto"/>
            </w:tcBorders>
            <w:noWrap/>
            <w:vAlign w:val="bottom"/>
          </w:tcPr>
          <w:p w14:paraId="14FF5B0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1.086**</w:t>
            </w:r>
          </w:p>
        </w:tc>
        <w:tc>
          <w:tcPr>
            <w:tcW w:w="1083" w:type="dxa"/>
            <w:tcBorders>
              <w:top w:val="single" w:sz="4" w:space="0" w:color="auto"/>
              <w:left w:val="single" w:sz="4" w:space="0" w:color="auto"/>
              <w:bottom w:val="single" w:sz="4" w:space="0" w:color="auto"/>
              <w:right w:val="single" w:sz="4" w:space="0" w:color="auto"/>
            </w:tcBorders>
            <w:noWrap/>
            <w:vAlign w:val="bottom"/>
          </w:tcPr>
          <w:p w14:paraId="235447F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-1.092**</w:t>
            </w:r>
          </w:p>
        </w:tc>
        <w:tc>
          <w:tcPr>
            <w:tcW w:w="1283" w:type="dxa"/>
            <w:tcBorders>
              <w:top w:val="single" w:sz="4" w:space="0" w:color="auto"/>
              <w:left w:val="single" w:sz="4" w:space="0" w:color="auto"/>
              <w:bottom w:val="single" w:sz="4" w:space="0" w:color="auto"/>
              <w:right w:val="single" w:sz="4" w:space="0" w:color="auto"/>
            </w:tcBorders>
            <w:noWrap/>
            <w:vAlign w:val="bottom"/>
          </w:tcPr>
          <w:p w14:paraId="73593F4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-0.591</w:t>
            </w:r>
          </w:p>
        </w:tc>
      </w:tr>
      <w:tr w:rsidR="00D55B26" w:rsidRPr="00C16329" w14:paraId="5F05539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805544B"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0F7F914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(0.172)</w:t>
            </w:r>
          </w:p>
        </w:tc>
        <w:tc>
          <w:tcPr>
            <w:tcW w:w="1196" w:type="dxa"/>
            <w:tcBorders>
              <w:top w:val="single" w:sz="4" w:space="0" w:color="auto"/>
              <w:left w:val="single" w:sz="4" w:space="0" w:color="auto"/>
              <w:bottom w:val="single" w:sz="4" w:space="0" w:color="auto"/>
              <w:right w:val="single" w:sz="4" w:space="0" w:color="auto"/>
            </w:tcBorders>
            <w:noWrap/>
            <w:vAlign w:val="bottom"/>
          </w:tcPr>
          <w:p w14:paraId="2BF4DD9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(0.293)</w:t>
            </w:r>
          </w:p>
        </w:tc>
        <w:tc>
          <w:tcPr>
            <w:tcW w:w="1205" w:type="dxa"/>
            <w:tcBorders>
              <w:top w:val="single" w:sz="4" w:space="0" w:color="auto"/>
              <w:left w:val="single" w:sz="4" w:space="0" w:color="auto"/>
              <w:bottom w:val="single" w:sz="4" w:space="0" w:color="auto"/>
              <w:right w:val="single" w:sz="4" w:space="0" w:color="auto"/>
            </w:tcBorders>
            <w:noWrap/>
            <w:vAlign w:val="bottom"/>
          </w:tcPr>
          <w:p w14:paraId="6BE65F7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(0.530)</w:t>
            </w:r>
          </w:p>
        </w:tc>
        <w:tc>
          <w:tcPr>
            <w:tcW w:w="1083" w:type="dxa"/>
            <w:tcBorders>
              <w:top w:val="single" w:sz="4" w:space="0" w:color="auto"/>
              <w:left w:val="single" w:sz="4" w:space="0" w:color="auto"/>
              <w:bottom w:val="single" w:sz="4" w:space="0" w:color="auto"/>
              <w:right w:val="single" w:sz="4" w:space="0" w:color="auto"/>
            </w:tcBorders>
            <w:noWrap/>
            <w:vAlign w:val="bottom"/>
          </w:tcPr>
          <w:p w14:paraId="7FE96877"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(0.492)</w:t>
            </w:r>
          </w:p>
        </w:tc>
        <w:tc>
          <w:tcPr>
            <w:tcW w:w="1283" w:type="dxa"/>
            <w:tcBorders>
              <w:top w:val="single" w:sz="4" w:space="0" w:color="auto"/>
              <w:left w:val="single" w:sz="4" w:space="0" w:color="auto"/>
              <w:bottom w:val="single" w:sz="4" w:space="0" w:color="auto"/>
              <w:right w:val="single" w:sz="4" w:space="0" w:color="auto"/>
            </w:tcBorders>
            <w:noWrap/>
            <w:vAlign w:val="bottom"/>
          </w:tcPr>
          <w:p w14:paraId="3859906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(0.433)</w:t>
            </w:r>
          </w:p>
        </w:tc>
      </w:tr>
      <w:tr w:rsidR="00D55B26" w:rsidRPr="00C16329" w14:paraId="5205553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A6402EB"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Democrat</w:t>
            </w:r>
          </w:p>
        </w:tc>
        <w:tc>
          <w:tcPr>
            <w:tcW w:w="1073" w:type="dxa"/>
            <w:tcBorders>
              <w:top w:val="single" w:sz="4" w:space="0" w:color="auto"/>
              <w:left w:val="single" w:sz="4" w:space="0" w:color="auto"/>
              <w:bottom w:val="single" w:sz="4" w:space="0" w:color="auto"/>
              <w:right w:val="single" w:sz="4" w:space="0" w:color="auto"/>
            </w:tcBorders>
            <w:noWrap/>
            <w:vAlign w:val="bottom"/>
          </w:tcPr>
          <w:p w14:paraId="19D0ED6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-0.281</w:t>
            </w:r>
          </w:p>
        </w:tc>
        <w:tc>
          <w:tcPr>
            <w:tcW w:w="1196" w:type="dxa"/>
            <w:tcBorders>
              <w:top w:val="single" w:sz="4" w:space="0" w:color="auto"/>
              <w:left w:val="single" w:sz="4" w:space="0" w:color="auto"/>
              <w:bottom w:val="single" w:sz="4" w:space="0" w:color="auto"/>
              <w:right w:val="single" w:sz="4" w:space="0" w:color="auto"/>
            </w:tcBorders>
            <w:noWrap/>
            <w:vAlign w:val="bottom"/>
          </w:tcPr>
          <w:p w14:paraId="7F2F6D5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-0.267</w:t>
            </w:r>
          </w:p>
        </w:tc>
        <w:tc>
          <w:tcPr>
            <w:tcW w:w="1205" w:type="dxa"/>
            <w:tcBorders>
              <w:top w:val="single" w:sz="4" w:space="0" w:color="auto"/>
              <w:left w:val="single" w:sz="4" w:space="0" w:color="auto"/>
              <w:bottom w:val="single" w:sz="4" w:space="0" w:color="auto"/>
              <w:right w:val="single" w:sz="4" w:space="0" w:color="auto"/>
            </w:tcBorders>
            <w:noWrap/>
            <w:vAlign w:val="bottom"/>
          </w:tcPr>
          <w:p w14:paraId="5981966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-1.532***</w:t>
            </w:r>
          </w:p>
        </w:tc>
        <w:tc>
          <w:tcPr>
            <w:tcW w:w="1083" w:type="dxa"/>
            <w:tcBorders>
              <w:top w:val="single" w:sz="4" w:space="0" w:color="auto"/>
              <w:left w:val="single" w:sz="4" w:space="0" w:color="auto"/>
              <w:bottom w:val="single" w:sz="4" w:space="0" w:color="auto"/>
              <w:right w:val="single" w:sz="4" w:space="0" w:color="auto"/>
            </w:tcBorders>
            <w:noWrap/>
            <w:vAlign w:val="bottom"/>
          </w:tcPr>
          <w:p w14:paraId="5B74403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2.017***</w:t>
            </w:r>
          </w:p>
        </w:tc>
        <w:tc>
          <w:tcPr>
            <w:tcW w:w="1283" w:type="dxa"/>
            <w:tcBorders>
              <w:top w:val="single" w:sz="4" w:space="0" w:color="auto"/>
              <w:left w:val="single" w:sz="4" w:space="0" w:color="auto"/>
              <w:bottom w:val="single" w:sz="4" w:space="0" w:color="auto"/>
              <w:right w:val="single" w:sz="4" w:space="0" w:color="auto"/>
            </w:tcBorders>
            <w:noWrap/>
            <w:vAlign w:val="bottom"/>
          </w:tcPr>
          <w:p w14:paraId="15CF6FE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-1.236***</w:t>
            </w:r>
          </w:p>
        </w:tc>
      </w:tr>
      <w:tr w:rsidR="00D55B26" w:rsidRPr="00C16329" w14:paraId="5B0EF737"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1A35728"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62535F2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(0.173)</w:t>
            </w:r>
          </w:p>
        </w:tc>
        <w:tc>
          <w:tcPr>
            <w:tcW w:w="1196" w:type="dxa"/>
            <w:tcBorders>
              <w:top w:val="single" w:sz="4" w:space="0" w:color="auto"/>
              <w:left w:val="single" w:sz="4" w:space="0" w:color="auto"/>
              <w:bottom w:val="single" w:sz="4" w:space="0" w:color="auto"/>
              <w:right w:val="single" w:sz="4" w:space="0" w:color="auto"/>
            </w:tcBorders>
            <w:noWrap/>
            <w:vAlign w:val="bottom"/>
          </w:tcPr>
          <w:p w14:paraId="3375B81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(0.294)</w:t>
            </w:r>
          </w:p>
        </w:tc>
        <w:tc>
          <w:tcPr>
            <w:tcW w:w="1205" w:type="dxa"/>
            <w:tcBorders>
              <w:top w:val="single" w:sz="4" w:space="0" w:color="auto"/>
              <w:left w:val="single" w:sz="4" w:space="0" w:color="auto"/>
              <w:bottom w:val="single" w:sz="4" w:space="0" w:color="auto"/>
              <w:right w:val="single" w:sz="4" w:space="0" w:color="auto"/>
            </w:tcBorders>
            <w:noWrap/>
            <w:vAlign w:val="bottom"/>
          </w:tcPr>
          <w:p w14:paraId="462496F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(0.579)</w:t>
            </w:r>
          </w:p>
        </w:tc>
        <w:tc>
          <w:tcPr>
            <w:tcW w:w="1083" w:type="dxa"/>
            <w:tcBorders>
              <w:top w:val="single" w:sz="4" w:space="0" w:color="auto"/>
              <w:left w:val="single" w:sz="4" w:space="0" w:color="auto"/>
              <w:bottom w:val="single" w:sz="4" w:space="0" w:color="auto"/>
              <w:right w:val="single" w:sz="4" w:space="0" w:color="auto"/>
            </w:tcBorders>
            <w:noWrap/>
            <w:vAlign w:val="bottom"/>
          </w:tcPr>
          <w:p w14:paraId="04C11DB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(0.482)</w:t>
            </w:r>
          </w:p>
        </w:tc>
        <w:tc>
          <w:tcPr>
            <w:tcW w:w="1283" w:type="dxa"/>
            <w:tcBorders>
              <w:top w:val="single" w:sz="4" w:space="0" w:color="auto"/>
              <w:left w:val="single" w:sz="4" w:space="0" w:color="auto"/>
              <w:bottom w:val="single" w:sz="4" w:space="0" w:color="auto"/>
              <w:right w:val="single" w:sz="4" w:space="0" w:color="auto"/>
            </w:tcBorders>
            <w:noWrap/>
            <w:vAlign w:val="bottom"/>
          </w:tcPr>
          <w:p w14:paraId="7F9D92A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(0.415)</w:t>
            </w:r>
          </w:p>
        </w:tc>
      </w:tr>
      <w:tr w:rsidR="00D55B26" w:rsidRPr="00C16329" w14:paraId="42CA3EE7"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82ED2D1"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Oil X Republican</w:t>
            </w:r>
          </w:p>
        </w:tc>
        <w:tc>
          <w:tcPr>
            <w:tcW w:w="1073" w:type="dxa"/>
            <w:tcBorders>
              <w:top w:val="single" w:sz="4" w:space="0" w:color="auto"/>
              <w:left w:val="single" w:sz="4" w:space="0" w:color="auto"/>
              <w:bottom w:val="single" w:sz="4" w:space="0" w:color="auto"/>
              <w:right w:val="single" w:sz="4" w:space="0" w:color="auto"/>
            </w:tcBorders>
            <w:noWrap/>
            <w:vAlign w:val="bottom"/>
          </w:tcPr>
          <w:p w14:paraId="675A93F5"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18EB1DC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0.0114</w:t>
            </w:r>
          </w:p>
        </w:tc>
        <w:tc>
          <w:tcPr>
            <w:tcW w:w="1205" w:type="dxa"/>
            <w:tcBorders>
              <w:top w:val="single" w:sz="4" w:space="0" w:color="auto"/>
              <w:left w:val="single" w:sz="4" w:space="0" w:color="auto"/>
              <w:bottom w:val="single" w:sz="4" w:space="0" w:color="auto"/>
              <w:right w:val="single" w:sz="4" w:space="0" w:color="auto"/>
            </w:tcBorders>
            <w:noWrap/>
            <w:vAlign w:val="bottom"/>
          </w:tcPr>
          <w:p w14:paraId="0EE169B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-0.702</w:t>
            </w:r>
          </w:p>
        </w:tc>
        <w:tc>
          <w:tcPr>
            <w:tcW w:w="1083" w:type="dxa"/>
            <w:tcBorders>
              <w:top w:val="single" w:sz="4" w:space="0" w:color="auto"/>
              <w:left w:val="single" w:sz="4" w:space="0" w:color="auto"/>
              <w:bottom w:val="single" w:sz="4" w:space="0" w:color="auto"/>
              <w:right w:val="single" w:sz="4" w:space="0" w:color="auto"/>
            </w:tcBorders>
            <w:noWrap/>
            <w:vAlign w:val="bottom"/>
          </w:tcPr>
          <w:p w14:paraId="78A0EA2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-0.353</w:t>
            </w:r>
          </w:p>
        </w:tc>
        <w:tc>
          <w:tcPr>
            <w:tcW w:w="1283" w:type="dxa"/>
            <w:tcBorders>
              <w:top w:val="single" w:sz="4" w:space="0" w:color="auto"/>
              <w:left w:val="single" w:sz="4" w:space="0" w:color="auto"/>
              <w:bottom w:val="single" w:sz="4" w:space="0" w:color="auto"/>
              <w:right w:val="single" w:sz="4" w:space="0" w:color="auto"/>
            </w:tcBorders>
            <w:noWrap/>
            <w:vAlign w:val="bottom"/>
          </w:tcPr>
          <w:p w14:paraId="5043596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1.188*</w:t>
            </w:r>
          </w:p>
        </w:tc>
      </w:tr>
      <w:tr w:rsidR="00D55B26" w:rsidRPr="00C16329" w14:paraId="6298C207"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3DC065F"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0AED5E48"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4F46959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(0.421)</w:t>
            </w:r>
          </w:p>
        </w:tc>
        <w:tc>
          <w:tcPr>
            <w:tcW w:w="1205" w:type="dxa"/>
            <w:tcBorders>
              <w:top w:val="single" w:sz="4" w:space="0" w:color="auto"/>
              <w:left w:val="single" w:sz="4" w:space="0" w:color="auto"/>
              <w:bottom w:val="single" w:sz="4" w:space="0" w:color="auto"/>
              <w:right w:val="single" w:sz="4" w:space="0" w:color="auto"/>
            </w:tcBorders>
            <w:noWrap/>
            <w:vAlign w:val="bottom"/>
          </w:tcPr>
          <w:p w14:paraId="61E6C7B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(0.757)</w:t>
            </w:r>
          </w:p>
        </w:tc>
        <w:tc>
          <w:tcPr>
            <w:tcW w:w="1083" w:type="dxa"/>
            <w:tcBorders>
              <w:top w:val="single" w:sz="4" w:space="0" w:color="auto"/>
              <w:left w:val="single" w:sz="4" w:space="0" w:color="auto"/>
              <w:bottom w:val="single" w:sz="4" w:space="0" w:color="auto"/>
              <w:right w:val="single" w:sz="4" w:space="0" w:color="auto"/>
            </w:tcBorders>
            <w:noWrap/>
            <w:vAlign w:val="bottom"/>
          </w:tcPr>
          <w:p w14:paraId="6D88478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(0.676)</w:t>
            </w:r>
          </w:p>
        </w:tc>
        <w:tc>
          <w:tcPr>
            <w:tcW w:w="1283" w:type="dxa"/>
            <w:tcBorders>
              <w:top w:val="single" w:sz="4" w:space="0" w:color="auto"/>
              <w:left w:val="single" w:sz="4" w:space="0" w:color="auto"/>
              <w:bottom w:val="single" w:sz="4" w:space="0" w:color="auto"/>
              <w:right w:val="single" w:sz="4" w:space="0" w:color="auto"/>
            </w:tcBorders>
            <w:noWrap/>
            <w:vAlign w:val="bottom"/>
          </w:tcPr>
          <w:p w14:paraId="202C67D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(0.648)</w:t>
            </w:r>
          </w:p>
        </w:tc>
      </w:tr>
      <w:tr w:rsidR="00D55B26" w:rsidRPr="00C16329" w14:paraId="170E86C4"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9586A5A"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Oil X Democrat</w:t>
            </w:r>
          </w:p>
        </w:tc>
        <w:tc>
          <w:tcPr>
            <w:tcW w:w="1073" w:type="dxa"/>
            <w:tcBorders>
              <w:top w:val="single" w:sz="4" w:space="0" w:color="auto"/>
              <w:left w:val="single" w:sz="4" w:space="0" w:color="auto"/>
              <w:bottom w:val="single" w:sz="4" w:space="0" w:color="auto"/>
              <w:right w:val="single" w:sz="4" w:space="0" w:color="auto"/>
            </w:tcBorders>
            <w:noWrap/>
            <w:vAlign w:val="bottom"/>
          </w:tcPr>
          <w:p w14:paraId="6FF4B012"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1913974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0.350</w:t>
            </w:r>
          </w:p>
        </w:tc>
        <w:tc>
          <w:tcPr>
            <w:tcW w:w="1205" w:type="dxa"/>
            <w:tcBorders>
              <w:top w:val="single" w:sz="4" w:space="0" w:color="auto"/>
              <w:left w:val="single" w:sz="4" w:space="0" w:color="auto"/>
              <w:bottom w:val="single" w:sz="4" w:space="0" w:color="auto"/>
              <w:right w:val="single" w:sz="4" w:space="0" w:color="auto"/>
            </w:tcBorders>
            <w:noWrap/>
            <w:vAlign w:val="bottom"/>
          </w:tcPr>
          <w:p w14:paraId="1F9F58A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0.225</w:t>
            </w:r>
          </w:p>
        </w:tc>
        <w:tc>
          <w:tcPr>
            <w:tcW w:w="1083" w:type="dxa"/>
            <w:tcBorders>
              <w:top w:val="single" w:sz="4" w:space="0" w:color="auto"/>
              <w:left w:val="single" w:sz="4" w:space="0" w:color="auto"/>
              <w:bottom w:val="single" w:sz="4" w:space="0" w:color="auto"/>
              <w:right w:val="single" w:sz="4" w:space="0" w:color="auto"/>
            </w:tcBorders>
            <w:noWrap/>
            <w:vAlign w:val="bottom"/>
          </w:tcPr>
          <w:p w14:paraId="3F18108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-1.074</w:t>
            </w:r>
          </w:p>
        </w:tc>
        <w:tc>
          <w:tcPr>
            <w:tcW w:w="1283" w:type="dxa"/>
            <w:tcBorders>
              <w:top w:val="single" w:sz="4" w:space="0" w:color="auto"/>
              <w:left w:val="single" w:sz="4" w:space="0" w:color="auto"/>
              <w:bottom w:val="single" w:sz="4" w:space="0" w:color="auto"/>
              <w:right w:val="single" w:sz="4" w:space="0" w:color="auto"/>
            </w:tcBorders>
            <w:noWrap/>
            <w:vAlign w:val="bottom"/>
          </w:tcPr>
          <w:p w14:paraId="193EBE1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0.970</w:t>
            </w:r>
          </w:p>
        </w:tc>
      </w:tr>
      <w:tr w:rsidR="00D55B26" w:rsidRPr="00C16329" w14:paraId="04506B4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354D8F5"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0913FAFC"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5E90501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(0.423)</w:t>
            </w:r>
          </w:p>
        </w:tc>
        <w:tc>
          <w:tcPr>
            <w:tcW w:w="1205" w:type="dxa"/>
            <w:tcBorders>
              <w:top w:val="single" w:sz="4" w:space="0" w:color="auto"/>
              <w:left w:val="single" w:sz="4" w:space="0" w:color="auto"/>
              <w:bottom w:val="single" w:sz="4" w:space="0" w:color="auto"/>
              <w:right w:val="single" w:sz="4" w:space="0" w:color="auto"/>
            </w:tcBorders>
            <w:noWrap/>
            <w:vAlign w:val="bottom"/>
          </w:tcPr>
          <w:p w14:paraId="615C70B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(0.835)</w:t>
            </w:r>
          </w:p>
        </w:tc>
        <w:tc>
          <w:tcPr>
            <w:tcW w:w="1083" w:type="dxa"/>
            <w:tcBorders>
              <w:top w:val="single" w:sz="4" w:space="0" w:color="auto"/>
              <w:left w:val="single" w:sz="4" w:space="0" w:color="auto"/>
              <w:bottom w:val="single" w:sz="4" w:space="0" w:color="auto"/>
              <w:right w:val="single" w:sz="4" w:space="0" w:color="auto"/>
            </w:tcBorders>
            <w:noWrap/>
            <w:vAlign w:val="bottom"/>
          </w:tcPr>
          <w:p w14:paraId="325C324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(0.656)</w:t>
            </w:r>
          </w:p>
        </w:tc>
        <w:tc>
          <w:tcPr>
            <w:tcW w:w="1283" w:type="dxa"/>
            <w:tcBorders>
              <w:top w:val="single" w:sz="4" w:space="0" w:color="auto"/>
              <w:left w:val="single" w:sz="4" w:space="0" w:color="auto"/>
              <w:bottom w:val="single" w:sz="4" w:space="0" w:color="auto"/>
              <w:right w:val="single" w:sz="4" w:space="0" w:color="auto"/>
            </w:tcBorders>
            <w:noWrap/>
            <w:vAlign w:val="bottom"/>
          </w:tcPr>
          <w:p w14:paraId="1602CBC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(0.643)</w:t>
            </w:r>
          </w:p>
        </w:tc>
      </w:tr>
      <w:tr w:rsidR="00D55B26" w:rsidRPr="00C16329" w14:paraId="1EB7CF1E"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C3088C4"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Green X Republican</w:t>
            </w:r>
          </w:p>
        </w:tc>
        <w:tc>
          <w:tcPr>
            <w:tcW w:w="1073" w:type="dxa"/>
            <w:tcBorders>
              <w:top w:val="single" w:sz="4" w:space="0" w:color="auto"/>
              <w:left w:val="single" w:sz="4" w:space="0" w:color="auto"/>
              <w:bottom w:val="single" w:sz="4" w:space="0" w:color="auto"/>
              <w:right w:val="single" w:sz="4" w:space="0" w:color="auto"/>
            </w:tcBorders>
            <w:noWrap/>
            <w:vAlign w:val="bottom"/>
          </w:tcPr>
          <w:p w14:paraId="0CFB985B"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2B1083A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-0.128</w:t>
            </w:r>
          </w:p>
        </w:tc>
        <w:tc>
          <w:tcPr>
            <w:tcW w:w="1205" w:type="dxa"/>
            <w:tcBorders>
              <w:top w:val="single" w:sz="4" w:space="0" w:color="auto"/>
              <w:left w:val="single" w:sz="4" w:space="0" w:color="auto"/>
              <w:bottom w:val="single" w:sz="4" w:space="0" w:color="auto"/>
              <w:right w:val="single" w:sz="4" w:space="0" w:color="auto"/>
            </w:tcBorders>
            <w:noWrap/>
            <w:vAlign w:val="bottom"/>
          </w:tcPr>
          <w:p w14:paraId="3398223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0.733</w:t>
            </w:r>
          </w:p>
        </w:tc>
        <w:tc>
          <w:tcPr>
            <w:tcW w:w="1083" w:type="dxa"/>
            <w:tcBorders>
              <w:top w:val="single" w:sz="4" w:space="0" w:color="auto"/>
              <w:left w:val="single" w:sz="4" w:space="0" w:color="auto"/>
              <w:bottom w:val="single" w:sz="4" w:space="0" w:color="auto"/>
              <w:right w:val="single" w:sz="4" w:space="0" w:color="auto"/>
            </w:tcBorders>
            <w:noWrap/>
            <w:vAlign w:val="bottom"/>
          </w:tcPr>
          <w:p w14:paraId="6E64A14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-1.072</w:t>
            </w:r>
          </w:p>
        </w:tc>
        <w:tc>
          <w:tcPr>
            <w:tcW w:w="1283" w:type="dxa"/>
            <w:tcBorders>
              <w:top w:val="single" w:sz="4" w:space="0" w:color="auto"/>
              <w:left w:val="single" w:sz="4" w:space="0" w:color="auto"/>
              <w:bottom w:val="single" w:sz="4" w:space="0" w:color="auto"/>
              <w:right w:val="single" w:sz="4" w:space="0" w:color="auto"/>
            </w:tcBorders>
            <w:noWrap/>
            <w:vAlign w:val="bottom"/>
          </w:tcPr>
          <w:p w14:paraId="258C9EE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0.405</w:t>
            </w:r>
          </w:p>
        </w:tc>
      </w:tr>
      <w:tr w:rsidR="00D55B26" w:rsidRPr="00C16329" w14:paraId="4D5D661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0C918047"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44F2D71E"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333383F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(0.422)</w:t>
            </w:r>
          </w:p>
        </w:tc>
        <w:tc>
          <w:tcPr>
            <w:tcW w:w="1205" w:type="dxa"/>
            <w:tcBorders>
              <w:top w:val="single" w:sz="4" w:space="0" w:color="auto"/>
              <w:left w:val="single" w:sz="4" w:space="0" w:color="auto"/>
              <w:bottom w:val="single" w:sz="4" w:space="0" w:color="auto"/>
              <w:right w:val="single" w:sz="4" w:space="0" w:color="auto"/>
            </w:tcBorders>
            <w:noWrap/>
            <w:vAlign w:val="bottom"/>
          </w:tcPr>
          <w:p w14:paraId="5A5BAF4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(0.814)</w:t>
            </w:r>
          </w:p>
        </w:tc>
        <w:tc>
          <w:tcPr>
            <w:tcW w:w="1083" w:type="dxa"/>
            <w:tcBorders>
              <w:top w:val="single" w:sz="4" w:space="0" w:color="auto"/>
              <w:left w:val="single" w:sz="4" w:space="0" w:color="auto"/>
              <w:bottom w:val="single" w:sz="4" w:space="0" w:color="auto"/>
              <w:right w:val="single" w:sz="4" w:space="0" w:color="auto"/>
            </w:tcBorders>
            <w:noWrap/>
            <w:vAlign w:val="bottom"/>
          </w:tcPr>
          <w:p w14:paraId="0A5FB78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(0.683)</w:t>
            </w:r>
          </w:p>
        </w:tc>
        <w:tc>
          <w:tcPr>
            <w:tcW w:w="1283" w:type="dxa"/>
            <w:tcBorders>
              <w:top w:val="single" w:sz="4" w:space="0" w:color="auto"/>
              <w:left w:val="single" w:sz="4" w:space="0" w:color="auto"/>
              <w:bottom w:val="single" w:sz="4" w:space="0" w:color="auto"/>
              <w:right w:val="single" w:sz="4" w:space="0" w:color="auto"/>
            </w:tcBorders>
            <w:noWrap/>
            <w:vAlign w:val="bottom"/>
          </w:tcPr>
          <w:p w14:paraId="1511224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(0.628)</w:t>
            </w:r>
          </w:p>
        </w:tc>
      </w:tr>
      <w:tr w:rsidR="00D55B26" w:rsidRPr="00C16329" w14:paraId="7F7FF2A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3219DAE"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Green X Democrat</w:t>
            </w:r>
          </w:p>
        </w:tc>
        <w:tc>
          <w:tcPr>
            <w:tcW w:w="1073" w:type="dxa"/>
            <w:tcBorders>
              <w:top w:val="single" w:sz="4" w:space="0" w:color="auto"/>
              <w:left w:val="single" w:sz="4" w:space="0" w:color="auto"/>
              <w:bottom w:val="single" w:sz="4" w:space="0" w:color="auto"/>
              <w:right w:val="single" w:sz="4" w:space="0" w:color="auto"/>
            </w:tcBorders>
            <w:noWrap/>
            <w:vAlign w:val="bottom"/>
          </w:tcPr>
          <w:p w14:paraId="0BAAC739"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31A9933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0.546</w:t>
            </w:r>
          </w:p>
        </w:tc>
        <w:tc>
          <w:tcPr>
            <w:tcW w:w="1205" w:type="dxa"/>
            <w:tcBorders>
              <w:top w:val="single" w:sz="4" w:space="0" w:color="auto"/>
              <w:left w:val="single" w:sz="4" w:space="0" w:color="auto"/>
              <w:bottom w:val="single" w:sz="4" w:space="0" w:color="auto"/>
              <w:right w:val="single" w:sz="4" w:space="0" w:color="auto"/>
            </w:tcBorders>
            <w:noWrap/>
            <w:vAlign w:val="bottom"/>
          </w:tcPr>
          <w:p w14:paraId="5181D06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1.164</w:t>
            </w:r>
          </w:p>
        </w:tc>
        <w:tc>
          <w:tcPr>
            <w:tcW w:w="1083" w:type="dxa"/>
            <w:tcBorders>
              <w:top w:val="single" w:sz="4" w:space="0" w:color="auto"/>
              <w:left w:val="single" w:sz="4" w:space="0" w:color="auto"/>
              <w:bottom w:val="single" w:sz="4" w:space="0" w:color="auto"/>
              <w:right w:val="single" w:sz="4" w:space="0" w:color="auto"/>
            </w:tcBorders>
            <w:noWrap/>
            <w:vAlign w:val="bottom"/>
          </w:tcPr>
          <w:p w14:paraId="7C25631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-0.491</w:t>
            </w:r>
          </w:p>
        </w:tc>
        <w:tc>
          <w:tcPr>
            <w:tcW w:w="1283" w:type="dxa"/>
            <w:tcBorders>
              <w:top w:val="single" w:sz="4" w:space="0" w:color="auto"/>
              <w:left w:val="single" w:sz="4" w:space="0" w:color="auto"/>
              <w:bottom w:val="single" w:sz="4" w:space="0" w:color="auto"/>
              <w:right w:val="single" w:sz="4" w:space="0" w:color="auto"/>
            </w:tcBorders>
            <w:noWrap/>
            <w:vAlign w:val="bottom"/>
          </w:tcPr>
          <w:p w14:paraId="41589CB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0.787</w:t>
            </w:r>
          </w:p>
        </w:tc>
      </w:tr>
      <w:tr w:rsidR="00D55B26" w:rsidRPr="00C16329" w14:paraId="092B245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6A8D3EB8"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47AC0677"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2D80D31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(0.480)</w:t>
            </w:r>
          </w:p>
        </w:tc>
        <w:tc>
          <w:tcPr>
            <w:tcW w:w="1205" w:type="dxa"/>
            <w:tcBorders>
              <w:top w:val="single" w:sz="4" w:space="0" w:color="auto"/>
              <w:left w:val="single" w:sz="4" w:space="0" w:color="auto"/>
              <w:bottom w:val="single" w:sz="4" w:space="0" w:color="auto"/>
              <w:right w:val="single" w:sz="4" w:space="0" w:color="auto"/>
            </w:tcBorders>
            <w:noWrap/>
            <w:vAlign w:val="bottom"/>
          </w:tcPr>
          <w:p w14:paraId="422F7E6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(0.924)</w:t>
            </w:r>
          </w:p>
        </w:tc>
        <w:tc>
          <w:tcPr>
            <w:tcW w:w="1083" w:type="dxa"/>
            <w:tcBorders>
              <w:top w:val="single" w:sz="4" w:space="0" w:color="auto"/>
              <w:left w:val="single" w:sz="4" w:space="0" w:color="auto"/>
              <w:bottom w:val="single" w:sz="4" w:space="0" w:color="auto"/>
              <w:right w:val="single" w:sz="4" w:space="0" w:color="auto"/>
            </w:tcBorders>
            <w:noWrap/>
            <w:vAlign w:val="bottom"/>
          </w:tcPr>
          <w:p w14:paraId="3311668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(0.780)</w:t>
            </w:r>
          </w:p>
        </w:tc>
        <w:tc>
          <w:tcPr>
            <w:tcW w:w="1283" w:type="dxa"/>
            <w:tcBorders>
              <w:top w:val="single" w:sz="4" w:space="0" w:color="auto"/>
              <w:left w:val="single" w:sz="4" w:space="0" w:color="auto"/>
              <w:bottom w:val="single" w:sz="4" w:space="0" w:color="auto"/>
              <w:right w:val="single" w:sz="4" w:space="0" w:color="auto"/>
            </w:tcBorders>
            <w:noWrap/>
            <w:vAlign w:val="bottom"/>
          </w:tcPr>
          <w:p w14:paraId="3D97F1F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(0.683)</w:t>
            </w:r>
          </w:p>
        </w:tc>
      </w:tr>
      <w:tr w:rsidR="00D55B26" w:rsidRPr="00C16329" w14:paraId="39197DC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571D141C"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Green X $20M X Democrat</w:t>
            </w:r>
          </w:p>
        </w:tc>
        <w:tc>
          <w:tcPr>
            <w:tcW w:w="1073" w:type="dxa"/>
            <w:tcBorders>
              <w:top w:val="single" w:sz="4" w:space="0" w:color="auto"/>
              <w:left w:val="single" w:sz="4" w:space="0" w:color="auto"/>
              <w:bottom w:val="single" w:sz="4" w:space="0" w:color="auto"/>
              <w:right w:val="single" w:sz="4" w:space="0" w:color="auto"/>
            </w:tcBorders>
            <w:noWrap/>
            <w:vAlign w:val="bottom"/>
          </w:tcPr>
          <w:p w14:paraId="11996A77"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4596071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-1.750***</w:t>
            </w:r>
          </w:p>
        </w:tc>
        <w:tc>
          <w:tcPr>
            <w:tcW w:w="1205" w:type="dxa"/>
            <w:tcBorders>
              <w:top w:val="single" w:sz="4" w:space="0" w:color="auto"/>
              <w:left w:val="single" w:sz="4" w:space="0" w:color="auto"/>
              <w:bottom w:val="single" w:sz="4" w:space="0" w:color="auto"/>
              <w:right w:val="single" w:sz="4" w:space="0" w:color="auto"/>
            </w:tcBorders>
            <w:noWrap/>
            <w:vAlign w:val="bottom"/>
          </w:tcPr>
          <w:p w14:paraId="279B99A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-1.833**</w:t>
            </w:r>
          </w:p>
        </w:tc>
        <w:tc>
          <w:tcPr>
            <w:tcW w:w="1083" w:type="dxa"/>
            <w:tcBorders>
              <w:top w:val="single" w:sz="4" w:space="0" w:color="auto"/>
              <w:left w:val="single" w:sz="4" w:space="0" w:color="auto"/>
              <w:bottom w:val="single" w:sz="4" w:space="0" w:color="auto"/>
              <w:right w:val="single" w:sz="4" w:space="0" w:color="auto"/>
            </w:tcBorders>
            <w:noWrap/>
            <w:vAlign w:val="bottom"/>
          </w:tcPr>
          <w:p w14:paraId="1761BB3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-1.647**</w:t>
            </w:r>
          </w:p>
        </w:tc>
        <w:tc>
          <w:tcPr>
            <w:tcW w:w="1283" w:type="dxa"/>
            <w:tcBorders>
              <w:top w:val="single" w:sz="4" w:space="0" w:color="auto"/>
              <w:left w:val="single" w:sz="4" w:space="0" w:color="auto"/>
              <w:bottom w:val="single" w:sz="4" w:space="0" w:color="auto"/>
              <w:right w:val="single" w:sz="4" w:space="0" w:color="auto"/>
            </w:tcBorders>
            <w:noWrap/>
            <w:vAlign w:val="bottom"/>
          </w:tcPr>
          <w:p w14:paraId="1B58CF6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-1.302**</w:t>
            </w:r>
          </w:p>
        </w:tc>
      </w:tr>
      <w:tr w:rsidR="00D55B26" w:rsidRPr="00C16329" w14:paraId="76993F47"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1FA3F10"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18521C83"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211C7CF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(0.450)</w:t>
            </w:r>
          </w:p>
        </w:tc>
        <w:tc>
          <w:tcPr>
            <w:tcW w:w="1205" w:type="dxa"/>
            <w:tcBorders>
              <w:top w:val="single" w:sz="4" w:space="0" w:color="auto"/>
              <w:left w:val="single" w:sz="4" w:space="0" w:color="auto"/>
              <w:bottom w:val="single" w:sz="4" w:space="0" w:color="auto"/>
              <w:right w:val="single" w:sz="4" w:space="0" w:color="auto"/>
            </w:tcBorders>
            <w:noWrap/>
            <w:vAlign w:val="bottom"/>
          </w:tcPr>
          <w:p w14:paraId="5CF221F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(0.820)</w:t>
            </w:r>
          </w:p>
        </w:tc>
        <w:tc>
          <w:tcPr>
            <w:tcW w:w="1083" w:type="dxa"/>
            <w:tcBorders>
              <w:top w:val="single" w:sz="4" w:space="0" w:color="auto"/>
              <w:left w:val="single" w:sz="4" w:space="0" w:color="auto"/>
              <w:bottom w:val="single" w:sz="4" w:space="0" w:color="auto"/>
              <w:right w:val="single" w:sz="4" w:space="0" w:color="auto"/>
            </w:tcBorders>
            <w:noWrap/>
            <w:vAlign w:val="bottom"/>
          </w:tcPr>
          <w:p w14:paraId="500DB03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(0.756)</w:t>
            </w:r>
          </w:p>
        </w:tc>
        <w:tc>
          <w:tcPr>
            <w:tcW w:w="1283" w:type="dxa"/>
            <w:tcBorders>
              <w:top w:val="single" w:sz="4" w:space="0" w:color="auto"/>
              <w:left w:val="single" w:sz="4" w:space="0" w:color="auto"/>
              <w:bottom w:val="single" w:sz="4" w:space="0" w:color="auto"/>
              <w:right w:val="single" w:sz="4" w:space="0" w:color="auto"/>
            </w:tcBorders>
            <w:noWrap/>
            <w:vAlign w:val="bottom"/>
          </w:tcPr>
          <w:p w14:paraId="382ECDC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(0.647)</w:t>
            </w:r>
          </w:p>
        </w:tc>
      </w:tr>
      <w:tr w:rsidR="00D55B26" w:rsidRPr="00C16329" w14:paraId="59EB434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701D8DE3"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Republican respondents</w:t>
            </w:r>
          </w:p>
        </w:tc>
        <w:tc>
          <w:tcPr>
            <w:tcW w:w="1073" w:type="dxa"/>
            <w:tcBorders>
              <w:top w:val="single" w:sz="4" w:space="0" w:color="auto"/>
              <w:left w:val="single" w:sz="4" w:space="0" w:color="auto"/>
              <w:bottom w:val="single" w:sz="4" w:space="0" w:color="auto"/>
              <w:right w:val="single" w:sz="4" w:space="0" w:color="auto"/>
            </w:tcBorders>
            <w:noWrap/>
            <w:vAlign w:val="bottom"/>
          </w:tcPr>
          <w:p w14:paraId="38D92A7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0.00793</w:t>
            </w:r>
          </w:p>
        </w:tc>
        <w:tc>
          <w:tcPr>
            <w:tcW w:w="1196" w:type="dxa"/>
            <w:tcBorders>
              <w:top w:val="single" w:sz="4" w:space="0" w:color="auto"/>
              <w:left w:val="single" w:sz="4" w:space="0" w:color="auto"/>
              <w:bottom w:val="single" w:sz="4" w:space="0" w:color="auto"/>
              <w:right w:val="single" w:sz="4" w:space="0" w:color="auto"/>
            </w:tcBorders>
            <w:noWrap/>
            <w:vAlign w:val="bottom"/>
          </w:tcPr>
          <w:p w14:paraId="7E3FBBF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0.0243</w:t>
            </w:r>
          </w:p>
        </w:tc>
        <w:tc>
          <w:tcPr>
            <w:tcW w:w="1205" w:type="dxa"/>
            <w:tcBorders>
              <w:top w:val="single" w:sz="4" w:space="0" w:color="auto"/>
              <w:left w:val="single" w:sz="4" w:space="0" w:color="auto"/>
              <w:bottom w:val="single" w:sz="4" w:space="0" w:color="auto"/>
              <w:right w:val="single" w:sz="4" w:space="0" w:color="auto"/>
            </w:tcBorders>
            <w:noWrap/>
            <w:vAlign w:val="bottom"/>
          </w:tcPr>
          <w:p w14:paraId="6E1B32FE" w14:textId="77777777" w:rsidR="00D55B26" w:rsidRPr="009C6A68" w:rsidRDefault="00D55B26" w:rsidP="00C24955">
            <w:pPr>
              <w:widowControl/>
              <w:suppressAutoHyphens w:val="0"/>
              <w:jc w:val="center"/>
              <w:rPr>
                <w:kern w:val="0"/>
                <w:sz w:val="20"/>
                <w:szCs w:val="20"/>
                <w:lang w:eastAsia="ko-KR"/>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24803E13" w14:textId="77777777" w:rsidR="00D55B26" w:rsidRPr="009C6A68" w:rsidRDefault="00D55B26" w:rsidP="00C24955">
            <w:pPr>
              <w:widowControl/>
              <w:suppressAutoHyphens w:val="0"/>
              <w:jc w:val="center"/>
              <w:rPr>
                <w:kern w:val="0"/>
                <w:sz w:val="20"/>
                <w:szCs w:val="20"/>
                <w:lang w:eastAsia="ko-KR"/>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66DA25DB" w14:textId="77777777" w:rsidR="00D55B26" w:rsidRPr="009C6A68" w:rsidRDefault="00D55B26" w:rsidP="00C24955">
            <w:pPr>
              <w:widowControl/>
              <w:suppressAutoHyphens w:val="0"/>
              <w:jc w:val="center"/>
              <w:rPr>
                <w:kern w:val="0"/>
                <w:sz w:val="20"/>
                <w:szCs w:val="20"/>
                <w:lang w:eastAsia="ko-KR"/>
              </w:rPr>
            </w:pPr>
          </w:p>
        </w:tc>
      </w:tr>
      <w:tr w:rsidR="00D55B26" w:rsidRPr="00C16329" w14:paraId="7DC48EDC"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181239C"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423FD437"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(0.186)</w:t>
            </w:r>
          </w:p>
        </w:tc>
        <w:tc>
          <w:tcPr>
            <w:tcW w:w="1196" w:type="dxa"/>
            <w:tcBorders>
              <w:top w:val="single" w:sz="4" w:space="0" w:color="auto"/>
              <w:left w:val="single" w:sz="4" w:space="0" w:color="auto"/>
              <w:bottom w:val="single" w:sz="4" w:space="0" w:color="auto"/>
              <w:right w:val="single" w:sz="4" w:space="0" w:color="auto"/>
            </w:tcBorders>
            <w:noWrap/>
            <w:vAlign w:val="bottom"/>
          </w:tcPr>
          <w:p w14:paraId="25BD12D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(0.186)</w:t>
            </w:r>
          </w:p>
        </w:tc>
        <w:tc>
          <w:tcPr>
            <w:tcW w:w="1205" w:type="dxa"/>
            <w:tcBorders>
              <w:top w:val="single" w:sz="4" w:space="0" w:color="auto"/>
              <w:left w:val="single" w:sz="4" w:space="0" w:color="auto"/>
              <w:bottom w:val="single" w:sz="4" w:space="0" w:color="auto"/>
              <w:right w:val="single" w:sz="4" w:space="0" w:color="auto"/>
            </w:tcBorders>
            <w:noWrap/>
            <w:vAlign w:val="bottom"/>
          </w:tcPr>
          <w:p w14:paraId="6188287A" w14:textId="77777777" w:rsidR="00D55B26" w:rsidRPr="009C6A68" w:rsidRDefault="00D55B26" w:rsidP="00C24955">
            <w:pPr>
              <w:widowControl/>
              <w:suppressAutoHyphens w:val="0"/>
              <w:jc w:val="center"/>
              <w:rPr>
                <w:kern w:val="0"/>
                <w:sz w:val="20"/>
                <w:szCs w:val="20"/>
                <w:lang w:eastAsia="ko-KR"/>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3F85CBE1" w14:textId="77777777" w:rsidR="00D55B26" w:rsidRPr="009C6A68" w:rsidRDefault="00D55B26" w:rsidP="00C24955">
            <w:pPr>
              <w:widowControl/>
              <w:suppressAutoHyphens w:val="0"/>
              <w:jc w:val="center"/>
              <w:rPr>
                <w:kern w:val="0"/>
                <w:sz w:val="20"/>
                <w:szCs w:val="20"/>
                <w:lang w:eastAsia="ko-KR"/>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0AEB3E60" w14:textId="77777777" w:rsidR="00D55B26" w:rsidRPr="009C6A68" w:rsidRDefault="00D55B26" w:rsidP="00C24955">
            <w:pPr>
              <w:widowControl/>
              <w:suppressAutoHyphens w:val="0"/>
              <w:jc w:val="center"/>
              <w:rPr>
                <w:kern w:val="0"/>
                <w:sz w:val="20"/>
                <w:szCs w:val="20"/>
                <w:lang w:eastAsia="ko-KR"/>
              </w:rPr>
            </w:pPr>
          </w:p>
        </w:tc>
      </w:tr>
      <w:tr w:rsidR="00D55B26" w:rsidRPr="00C16329" w14:paraId="3EB88DD0"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78A991A5"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Democratic respondents</w:t>
            </w:r>
          </w:p>
        </w:tc>
        <w:tc>
          <w:tcPr>
            <w:tcW w:w="1073" w:type="dxa"/>
            <w:tcBorders>
              <w:top w:val="single" w:sz="4" w:space="0" w:color="auto"/>
              <w:left w:val="single" w:sz="4" w:space="0" w:color="auto"/>
              <w:bottom w:val="single" w:sz="4" w:space="0" w:color="auto"/>
              <w:right w:val="single" w:sz="4" w:space="0" w:color="auto"/>
            </w:tcBorders>
            <w:noWrap/>
            <w:vAlign w:val="bottom"/>
          </w:tcPr>
          <w:p w14:paraId="1C454D5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-0.373**</w:t>
            </w:r>
          </w:p>
        </w:tc>
        <w:tc>
          <w:tcPr>
            <w:tcW w:w="1196" w:type="dxa"/>
            <w:tcBorders>
              <w:top w:val="single" w:sz="4" w:space="0" w:color="auto"/>
              <w:left w:val="single" w:sz="4" w:space="0" w:color="auto"/>
              <w:bottom w:val="single" w:sz="4" w:space="0" w:color="auto"/>
              <w:right w:val="single" w:sz="4" w:space="0" w:color="auto"/>
            </w:tcBorders>
            <w:noWrap/>
            <w:vAlign w:val="bottom"/>
          </w:tcPr>
          <w:p w14:paraId="29B5F4A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-0.387**</w:t>
            </w:r>
          </w:p>
        </w:tc>
        <w:tc>
          <w:tcPr>
            <w:tcW w:w="1205" w:type="dxa"/>
            <w:tcBorders>
              <w:top w:val="single" w:sz="4" w:space="0" w:color="auto"/>
              <w:left w:val="single" w:sz="4" w:space="0" w:color="auto"/>
              <w:bottom w:val="single" w:sz="4" w:space="0" w:color="auto"/>
              <w:right w:val="single" w:sz="4" w:space="0" w:color="auto"/>
            </w:tcBorders>
            <w:noWrap/>
            <w:vAlign w:val="bottom"/>
          </w:tcPr>
          <w:p w14:paraId="44786F68" w14:textId="77777777" w:rsidR="00D55B26" w:rsidRPr="009C6A68" w:rsidRDefault="00D55B26" w:rsidP="00C24955">
            <w:pPr>
              <w:widowControl/>
              <w:suppressAutoHyphens w:val="0"/>
              <w:jc w:val="center"/>
              <w:rPr>
                <w:kern w:val="0"/>
                <w:sz w:val="20"/>
                <w:szCs w:val="20"/>
                <w:lang w:eastAsia="ko-KR"/>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5B56CB76" w14:textId="77777777" w:rsidR="00D55B26" w:rsidRPr="009C6A68" w:rsidRDefault="00D55B26" w:rsidP="00C24955">
            <w:pPr>
              <w:widowControl/>
              <w:suppressAutoHyphens w:val="0"/>
              <w:jc w:val="center"/>
              <w:rPr>
                <w:kern w:val="0"/>
                <w:sz w:val="20"/>
                <w:szCs w:val="20"/>
                <w:lang w:eastAsia="ko-KR"/>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2BC8502D" w14:textId="77777777" w:rsidR="00D55B26" w:rsidRPr="009C6A68" w:rsidRDefault="00D55B26" w:rsidP="00C24955">
            <w:pPr>
              <w:widowControl/>
              <w:suppressAutoHyphens w:val="0"/>
              <w:jc w:val="center"/>
              <w:rPr>
                <w:kern w:val="0"/>
                <w:sz w:val="20"/>
                <w:szCs w:val="20"/>
                <w:lang w:eastAsia="ko-KR"/>
              </w:rPr>
            </w:pPr>
          </w:p>
        </w:tc>
      </w:tr>
      <w:tr w:rsidR="00D55B26" w:rsidRPr="00C16329" w14:paraId="0D6F047D"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92538A2"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33FA710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(0.162)</w:t>
            </w:r>
          </w:p>
        </w:tc>
        <w:tc>
          <w:tcPr>
            <w:tcW w:w="1196" w:type="dxa"/>
            <w:tcBorders>
              <w:top w:val="single" w:sz="4" w:space="0" w:color="auto"/>
              <w:left w:val="single" w:sz="4" w:space="0" w:color="auto"/>
              <w:bottom w:val="single" w:sz="4" w:space="0" w:color="auto"/>
              <w:right w:val="single" w:sz="4" w:space="0" w:color="auto"/>
            </w:tcBorders>
            <w:noWrap/>
            <w:vAlign w:val="bottom"/>
          </w:tcPr>
          <w:p w14:paraId="29CFBD2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(0.161)</w:t>
            </w:r>
          </w:p>
        </w:tc>
        <w:tc>
          <w:tcPr>
            <w:tcW w:w="1205" w:type="dxa"/>
            <w:tcBorders>
              <w:top w:val="single" w:sz="4" w:space="0" w:color="auto"/>
              <w:left w:val="single" w:sz="4" w:space="0" w:color="auto"/>
              <w:bottom w:val="single" w:sz="4" w:space="0" w:color="auto"/>
              <w:right w:val="single" w:sz="4" w:space="0" w:color="auto"/>
            </w:tcBorders>
            <w:noWrap/>
            <w:vAlign w:val="bottom"/>
          </w:tcPr>
          <w:p w14:paraId="2198CC00" w14:textId="77777777" w:rsidR="00D55B26" w:rsidRPr="009C6A68" w:rsidRDefault="00D55B26" w:rsidP="00C24955">
            <w:pPr>
              <w:widowControl/>
              <w:suppressAutoHyphens w:val="0"/>
              <w:jc w:val="center"/>
              <w:rPr>
                <w:kern w:val="0"/>
                <w:sz w:val="20"/>
                <w:szCs w:val="20"/>
                <w:lang w:eastAsia="ko-KR"/>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DD6EA5F" w14:textId="77777777" w:rsidR="00D55B26" w:rsidRPr="009C6A68" w:rsidRDefault="00D55B26" w:rsidP="00C24955">
            <w:pPr>
              <w:widowControl/>
              <w:suppressAutoHyphens w:val="0"/>
              <w:jc w:val="center"/>
              <w:rPr>
                <w:kern w:val="0"/>
                <w:sz w:val="20"/>
                <w:szCs w:val="20"/>
                <w:lang w:eastAsia="ko-KR"/>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38EA3E91" w14:textId="77777777" w:rsidR="00D55B26" w:rsidRPr="009C6A68" w:rsidRDefault="00D55B26" w:rsidP="00C24955">
            <w:pPr>
              <w:widowControl/>
              <w:suppressAutoHyphens w:val="0"/>
              <w:jc w:val="center"/>
              <w:rPr>
                <w:kern w:val="0"/>
                <w:sz w:val="20"/>
                <w:szCs w:val="20"/>
                <w:lang w:eastAsia="ko-KR"/>
              </w:rPr>
            </w:pPr>
          </w:p>
        </w:tc>
      </w:tr>
      <w:tr w:rsidR="00D55B26" w:rsidRPr="00C16329" w14:paraId="75DC5635"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770BF1A5"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Age</w:t>
            </w:r>
          </w:p>
        </w:tc>
        <w:tc>
          <w:tcPr>
            <w:tcW w:w="1073" w:type="dxa"/>
            <w:tcBorders>
              <w:top w:val="single" w:sz="4" w:space="0" w:color="auto"/>
              <w:left w:val="single" w:sz="4" w:space="0" w:color="auto"/>
              <w:bottom w:val="single" w:sz="4" w:space="0" w:color="auto"/>
              <w:right w:val="single" w:sz="4" w:space="0" w:color="auto"/>
            </w:tcBorders>
            <w:noWrap/>
            <w:vAlign w:val="bottom"/>
          </w:tcPr>
          <w:p w14:paraId="204236A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w:t>
            </w:r>
            <w:r w:rsidR="009C377C">
              <w:rPr>
                <w:kern w:val="0"/>
                <w:sz w:val="20"/>
                <w:szCs w:val="20"/>
                <w:lang w:eastAsia="ko-KR"/>
              </w:rPr>
              <w:t>2</w:t>
            </w:r>
            <w:r w:rsidRPr="009C6A68">
              <w:rPr>
                <w:kern w:val="0"/>
                <w:sz w:val="20"/>
                <w:szCs w:val="20"/>
                <w:lang w:eastAsia="ko-KR"/>
              </w:rPr>
              <w:t>***</w:t>
            </w:r>
          </w:p>
        </w:tc>
        <w:tc>
          <w:tcPr>
            <w:tcW w:w="1196" w:type="dxa"/>
            <w:tcBorders>
              <w:top w:val="single" w:sz="4" w:space="0" w:color="auto"/>
              <w:left w:val="single" w:sz="4" w:space="0" w:color="auto"/>
              <w:bottom w:val="single" w:sz="4" w:space="0" w:color="auto"/>
              <w:right w:val="single" w:sz="4" w:space="0" w:color="auto"/>
            </w:tcBorders>
            <w:noWrap/>
            <w:vAlign w:val="bottom"/>
          </w:tcPr>
          <w:p w14:paraId="2737C4A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-0.012***</w:t>
            </w:r>
          </w:p>
        </w:tc>
        <w:tc>
          <w:tcPr>
            <w:tcW w:w="1205" w:type="dxa"/>
            <w:tcBorders>
              <w:top w:val="single" w:sz="4" w:space="0" w:color="auto"/>
              <w:left w:val="single" w:sz="4" w:space="0" w:color="auto"/>
              <w:bottom w:val="single" w:sz="4" w:space="0" w:color="auto"/>
              <w:right w:val="single" w:sz="4" w:space="0" w:color="auto"/>
            </w:tcBorders>
            <w:noWrap/>
            <w:vAlign w:val="bottom"/>
          </w:tcPr>
          <w:p w14:paraId="217F99D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w:t>
            </w:r>
            <w:r w:rsidR="009C377C">
              <w:rPr>
                <w:kern w:val="0"/>
                <w:sz w:val="20"/>
                <w:szCs w:val="20"/>
                <w:lang w:eastAsia="ko-KR"/>
              </w:rPr>
              <w:t>8</w:t>
            </w:r>
            <w:r w:rsidRPr="009C6A68">
              <w:rPr>
                <w:kern w:val="0"/>
                <w:sz w:val="20"/>
                <w:szCs w:val="20"/>
                <w:lang w:eastAsia="ko-KR"/>
              </w:rPr>
              <w:t>**</w:t>
            </w:r>
          </w:p>
        </w:tc>
        <w:tc>
          <w:tcPr>
            <w:tcW w:w="1083" w:type="dxa"/>
            <w:tcBorders>
              <w:top w:val="single" w:sz="4" w:space="0" w:color="auto"/>
              <w:left w:val="single" w:sz="4" w:space="0" w:color="auto"/>
              <w:bottom w:val="single" w:sz="4" w:space="0" w:color="auto"/>
              <w:right w:val="single" w:sz="4" w:space="0" w:color="auto"/>
            </w:tcBorders>
            <w:noWrap/>
            <w:vAlign w:val="bottom"/>
          </w:tcPr>
          <w:p w14:paraId="373E049B" w14:textId="03F0B49D"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-0.011</w:t>
            </w:r>
          </w:p>
        </w:tc>
        <w:tc>
          <w:tcPr>
            <w:tcW w:w="1283" w:type="dxa"/>
            <w:tcBorders>
              <w:top w:val="single" w:sz="4" w:space="0" w:color="auto"/>
              <w:left w:val="single" w:sz="4" w:space="0" w:color="auto"/>
              <w:bottom w:val="single" w:sz="4" w:space="0" w:color="auto"/>
              <w:right w:val="single" w:sz="4" w:space="0" w:color="auto"/>
            </w:tcBorders>
            <w:noWrap/>
            <w:vAlign w:val="bottom"/>
          </w:tcPr>
          <w:p w14:paraId="614381ED" w14:textId="444D96F1"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-0.018***</w:t>
            </w:r>
          </w:p>
        </w:tc>
      </w:tr>
      <w:tr w:rsidR="00D55B26" w:rsidRPr="00C16329" w14:paraId="34E01953"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0E42BC9"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6C7093A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(0.0044)</w:t>
            </w:r>
          </w:p>
        </w:tc>
        <w:tc>
          <w:tcPr>
            <w:tcW w:w="1196" w:type="dxa"/>
            <w:tcBorders>
              <w:top w:val="single" w:sz="4" w:space="0" w:color="auto"/>
              <w:left w:val="single" w:sz="4" w:space="0" w:color="auto"/>
              <w:bottom w:val="single" w:sz="4" w:space="0" w:color="auto"/>
              <w:right w:val="single" w:sz="4" w:space="0" w:color="auto"/>
            </w:tcBorders>
            <w:noWrap/>
            <w:vAlign w:val="bottom"/>
          </w:tcPr>
          <w:p w14:paraId="35DDABD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(0.0044)</w:t>
            </w:r>
          </w:p>
        </w:tc>
        <w:tc>
          <w:tcPr>
            <w:tcW w:w="1205" w:type="dxa"/>
            <w:tcBorders>
              <w:top w:val="single" w:sz="4" w:space="0" w:color="auto"/>
              <w:left w:val="single" w:sz="4" w:space="0" w:color="auto"/>
              <w:bottom w:val="single" w:sz="4" w:space="0" w:color="auto"/>
              <w:right w:val="single" w:sz="4" w:space="0" w:color="auto"/>
            </w:tcBorders>
            <w:noWrap/>
            <w:vAlign w:val="bottom"/>
          </w:tcPr>
          <w:p w14:paraId="14160AE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(0.0084)</w:t>
            </w:r>
          </w:p>
        </w:tc>
        <w:tc>
          <w:tcPr>
            <w:tcW w:w="1083" w:type="dxa"/>
            <w:tcBorders>
              <w:top w:val="single" w:sz="4" w:space="0" w:color="auto"/>
              <w:left w:val="single" w:sz="4" w:space="0" w:color="auto"/>
              <w:bottom w:val="single" w:sz="4" w:space="0" w:color="auto"/>
              <w:right w:val="single" w:sz="4" w:space="0" w:color="auto"/>
            </w:tcBorders>
            <w:noWrap/>
            <w:vAlign w:val="bottom"/>
          </w:tcPr>
          <w:p w14:paraId="2CAC4749" w14:textId="6FA48652"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(0.0069)</w:t>
            </w:r>
          </w:p>
        </w:tc>
        <w:tc>
          <w:tcPr>
            <w:tcW w:w="1283" w:type="dxa"/>
            <w:tcBorders>
              <w:top w:val="single" w:sz="4" w:space="0" w:color="auto"/>
              <w:left w:val="single" w:sz="4" w:space="0" w:color="auto"/>
              <w:bottom w:val="single" w:sz="4" w:space="0" w:color="auto"/>
              <w:right w:val="single" w:sz="4" w:space="0" w:color="auto"/>
            </w:tcBorders>
            <w:noWrap/>
            <w:vAlign w:val="bottom"/>
          </w:tcPr>
          <w:p w14:paraId="6837846C" w14:textId="15C1F1C6"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(0.0068)</w:t>
            </w:r>
          </w:p>
        </w:tc>
      </w:tr>
      <w:tr w:rsidR="00D55B26" w:rsidRPr="00C16329" w14:paraId="6DFE74F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43842D2"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College</w:t>
            </w:r>
          </w:p>
        </w:tc>
        <w:tc>
          <w:tcPr>
            <w:tcW w:w="1073" w:type="dxa"/>
            <w:tcBorders>
              <w:top w:val="single" w:sz="4" w:space="0" w:color="auto"/>
              <w:left w:val="single" w:sz="4" w:space="0" w:color="auto"/>
              <w:bottom w:val="single" w:sz="4" w:space="0" w:color="auto"/>
              <w:right w:val="single" w:sz="4" w:space="0" w:color="auto"/>
            </w:tcBorders>
            <w:noWrap/>
            <w:vAlign w:val="bottom"/>
          </w:tcPr>
          <w:p w14:paraId="4D68389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0.0275</w:t>
            </w:r>
          </w:p>
        </w:tc>
        <w:tc>
          <w:tcPr>
            <w:tcW w:w="1196" w:type="dxa"/>
            <w:tcBorders>
              <w:top w:val="single" w:sz="4" w:space="0" w:color="auto"/>
              <w:left w:val="single" w:sz="4" w:space="0" w:color="auto"/>
              <w:bottom w:val="single" w:sz="4" w:space="0" w:color="auto"/>
              <w:right w:val="single" w:sz="4" w:space="0" w:color="auto"/>
            </w:tcBorders>
            <w:noWrap/>
            <w:vAlign w:val="bottom"/>
          </w:tcPr>
          <w:p w14:paraId="324F216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0.0322</w:t>
            </w:r>
          </w:p>
        </w:tc>
        <w:tc>
          <w:tcPr>
            <w:tcW w:w="1205" w:type="dxa"/>
            <w:tcBorders>
              <w:top w:val="single" w:sz="4" w:space="0" w:color="auto"/>
              <w:left w:val="single" w:sz="4" w:space="0" w:color="auto"/>
              <w:bottom w:val="single" w:sz="4" w:space="0" w:color="auto"/>
              <w:right w:val="single" w:sz="4" w:space="0" w:color="auto"/>
            </w:tcBorders>
            <w:noWrap/>
            <w:vAlign w:val="bottom"/>
          </w:tcPr>
          <w:p w14:paraId="20C1BA5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-0.110</w:t>
            </w:r>
          </w:p>
        </w:tc>
        <w:tc>
          <w:tcPr>
            <w:tcW w:w="1083" w:type="dxa"/>
            <w:tcBorders>
              <w:top w:val="single" w:sz="4" w:space="0" w:color="auto"/>
              <w:left w:val="single" w:sz="4" w:space="0" w:color="auto"/>
              <w:bottom w:val="single" w:sz="4" w:space="0" w:color="auto"/>
              <w:right w:val="single" w:sz="4" w:space="0" w:color="auto"/>
            </w:tcBorders>
            <w:noWrap/>
            <w:vAlign w:val="bottom"/>
          </w:tcPr>
          <w:p w14:paraId="4315BB5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-0.134</w:t>
            </w:r>
          </w:p>
        </w:tc>
        <w:tc>
          <w:tcPr>
            <w:tcW w:w="1283" w:type="dxa"/>
            <w:tcBorders>
              <w:top w:val="single" w:sz="4" w:space="0" w:color="auto"/>
              <w:left w:val="single" w:sz="4" w:space="0" w:color="auto"/>
              <w:bottom w:val="single" w:sz="4" w:space="0" w:color="auto"/>
              <w:right w:val="single" w:sz="4" w:space="0" w:color="auto"/>
            </w:tcBorders>
            <w:noWrap/>
            <w:vAlign w:val="bottom"/>
          </w:tcPr>
          <w:p w14:paraId="33C0295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-0.0249</w:t>
            </w:r>
          </w:p>
        </w:tc>
      </w:tr>
      <w:tr w:rsidR="00D55B26" w:rsidRPr="00C16329" w14:paraId="587B507E"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55DA5F27"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35814E2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(0.176)</w:t>
            </w:r>
          </w:p>
        </w:tc>
        <w:tc>
          <w:tcPr>
            <w:tcW w:w="1196" w:type="dxa"/>
            <w:tcBorders>
              <w:top w:val="single" w:sz="4" w:space="0" w:color="auto"/>
              <w:left w:val="single" w:sz="4" w:space="0" w:color="auto"/>
              <w:bottom w:val="single" w:sz="4" w:space="0" w:color="auto"/>
              <w:right w:val="single" w:sz="4" w:space="0" w:color="auto"/>
            </w:tcBorders>
            <w:noWrap/>
            <w:vAlign w:val="bottom"/>
          </w:tcPr>
          <w:p w14:paraId="3CA133F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(0.176)</w:t>
            </w:r>
          </w:p>
        </w:tc>
        <w:tc>
          <w:tcPr>
            <w:tcW w:w="1205" w:type="dxa"/>
            <w:tcBorders>
              <w:top w:val="single" w:sz="4" w:space="0" w:color="auto"/>
              <w:left w:val="single" w:sz="4" w:space="0" w:color="auto"/>
              <w:bottom w:val="single" w:sz="4" w:space="0" w:color="auto"/>
              <w:right w:val="single" w:sz="4" w:space="0" w:color="auto"/>
            </w:tcBorders>
            <w:noWrap/>
            <w:vAlign w:val="bottom"/>
          </w:tcPr>
          <w:p w14:paraId="0F52A0B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(0.325)</w:t>
            </w:r>
          </w:p>
        </w:tc>
        <w:tc>
          <w:tcPr>
            <w:tcW w:w="1083" w:type="dxa"/>
            <w:tcBorders>
              <w:top w:val="single" w:sz="4" w:space="0" w:color="auto"/>
              <w:left w:val="single" w:sz="4" w:space="0" w:color="auto"/>
              <w:bottom w:val="single" w:sz="4" w:space="0" w:color="auto"/>
              <w:right w:val="single" w:sz="4" w:space="0" w:color="auto"/>
            </w:tcBorders>
            <w:noWrap/>
            <w:vAlign w:val="bottom"/>
          </w:tcPr>
          <w:p w14:paraId="6FEC18C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(0.288)</w:t>
            </w:r>
          </w:p>
        </w:tc>
        <w:tc>
          <w:tcPr>
            <w:tcW w:w="1283" w:type="dxa"/>
            <w:tcBorders>
              <w:top w:val="single" w:sz="4" w:space="0" w:color="auto"/>
              <w:left w:val="single" w:sz="4" w:space="0" w:color="auto"/>
              <w:bottom w:val="single" w:sz="4" w:space="0" w:color="auto"/>
              <w:right w:val="single" w:sz="4" w:space="0" w:color="auto"/>
            </w:tcBorders>
            <w:noWrap/>
            <w:vAlign w:val="bottom"/>
          </w:tcPr>
          <w:p w14:paraId="4F7F0F5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(0.261)</w:t>
            </w:r>
          </w:p>
        </w:tc>
      </w:tr>
      <w:tr w:rsidR="00D55B26" w:rsidRPr="00C16329" w14:paraId="67BEF796"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0DCBE936"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Income</w:t>
            </w:r>
          </w:p>
        </w:tc>
        <w:tc>
          <w:tcPr>
            <w:tcW w:w="1073" w:type="dxa"/>
            <w:tcBorders>
              <w:top w:val="single" w:sz="4" w:space="0" w:color="auto"/>
              <w:left w:val="single" w:sz="4" w:space="0" w:color="auto"/>
              <w:bottom w:val="single" w:sz="4" w:space="0" w:color="auto"/>
              <w:right w:val="single" w:sz="4" w:space="0" w:color="auto"/>
            </w:tcBorders>
            <w:noWrap/>
            <w:vAlign w:val="bottom"/>
          </w:tcPr>
          <w:p w14:paraId="62BE849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0.0539**</w:t>
            </w:r>
          </w:p>
        </w:tc>
        <w:tc>
          <w:tcPr>
            <w:tcW w:w="1196" w:type="dxa"/>
            <w:tcBorders>
              <w:top w:val="single" w:sz="4" w:space="0" w:color="auto"/>
              <w:left w:val="single" w:sz="4" w:space="0" w:color="auto"/>
              <w:bottom w:val="single" w:sz="4" w:space="0" w:color="auto"/>
              <w:right w:val="single" w:sz="4" w:space="0" w:color="auto"/>
            </w:tcBorders>
            <w:noWrap/>
            <w:vAlign w:val="bottom"/>
          </w:tcPr>
          <w:p w14:paraId="41F2B6F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0.0497*</w:t>
            </w:r>
          </w:p>
        </w:tc>
        <w:tc>
          <w:tcPr>
            <w:tcW w:w="1205" w:type="dxa"/>
            <w:tcBorders>
              <w:top w:val="single" w:sz="4" w:space="0" w:color="auto"/>
              <w:left w:val="single" w:sz="4" w:space="0" w:color="auto"/>
              <w:bottom w:val="single" w:sz="4" w:space="0" w:color="auto"/>
              <w:right w:val="single" w:sz="4" w:space="0" w:color="auto"/>
            </w:tcBorders>
            <w:noWrap/>
            <w:vAlign w:val="bottom"/>
          </w:tcPr>
          <w:p w14:paraId="17619DC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0.0403</w:t>
            </w:r>
          </w:p>
        </w:tc>
        <w:tc>
          <w:tcPr>
            <w:tcW w:w="1083" w:type="dxa"/>
            <w:tcBorders>
              <w:top w:val="single" w:sz="4" w:space="0" w:color="auto"/>
              <w:left w:val="single" w:sz="4" w:space="0" w:color="auto"/>
              <w:bottom w:val="single" w:sz="4" w:space="0" w:color="auto"/>
              <w:right w:val="single" w:sz="4" w:space="0" w:color="auto"/>
            </w:tcBorders>
            <w:noWrap/>
            <w:vAlign w:val="bottom"/>
          </w:tcPr>
          <w:p w14:paraId="16EE03A1"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0.0520</w:t>
            </w:r>
          </w:p>
        </w:tc>
        <w:tc>
          <w:tcPr>
            <w:tcW w:w="1283" w:type="dxa"/>
            <w:tcBorders>
              <w:top w:val="single" w:sz="4" w:space="0" w:color="auto"/>
              <w:left w:val="single" w:sz="4" w:space="0" w:color="auto"/>
              <w:bottom w:val="single" w:sz="4" w:space="0" w:color="auto"/>
              <w:right w:val="single" w:sz="4" w:space="0" w:color="auto"/>
            </w:tcBorders>
            <w:noWrap/>
            <w:vAlign w:val="bottom"/>
          </w:tcPr>
          <w:p w14:paraId="440DFD6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0.0414</w:t>
            </w:r>
          </w:p>
        </w:tc>
      </w:tr>
      <w:tr w:rsidR="00D55B26" w:rsidRPr="00C16329" w14:paraId="7E7C143B"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42D24EA"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72EDDC4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(0.0269)</w:t>
            </w:r>
          </w:p>
        </w:tc>
        <w:tc>
          <w:tcPr>
            <w:tcW w:w="1196" w:type="dxa"/>
            <w:tcBorders>
              <w:top w:val="single" w:sz="4" w:space="0" w:color="auto"/>
              <w:left w:val="single" w:sz="4" w:space="0" w:color="auto"/>
              <w:bottom w:val="single" w:sz="4" w:space="0" w:color="auto"/>
              <w:right w:val="single" w:sz="4" w:space="0" w:color="auto"/>
            </w:tcBorders>
            <w:noWrap/>
            <w:vAlign w:val="bottom"/>
          </w:tcPr>
          <w:p w14:paraId="2A29782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(0.0268)</w:t>
            </w:r>
          </w:p>
        </w:tc>
        <w:tc>
          <w:tcPr>
            <w:tcW w:w="1205" w:type="dxa"/>
            <w:tcBorders>
              <w:top w:val="single" w:sz="4" w:space="0" w:color="auto"/>
              <w:left w:val="single" w:sz="4" w:space="0" w:color="auto"/>
              <w:bottom w:val="single" w:sz="4" w:space="0" w:color="auto"/>
              <w:right w:val="single" w:sz="4" w:space="0" w:color="auto"/>
            </w:tcBorders>
            <w:noWrap/>
            <w:vAlign w:val="bottom"/>
          </w:tcPr>
          <w:p w14:paraId="13F22AB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(0.0496)</w:t>
            </w:r>
          </w:p>
        </w:tc>
        <w:tc>
          <w:tcPr>
            <w:tcW w:w="1083" w:type="dxa"/>
            <w:tcBorders>
              <w:top w:val="single" w:sz="4" w:space="0" w:color="auto"/>
              <w:left w:val="single" w:sz="4" w:space="0" w:color="auto"/>
              <w:bottom w:val="single" w:sz="4" w:space="0" w:color="auto"/>
              <w:right w:val="single" w:sz="4" w:space="0" w:color="auto"/>
            </w:tcBorders>
            <w:noWrap/>
            <w:vAlign w:val="bottom"/>
          </w:tcPr>
          <w:p w14:paraId="4C5E303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(0.0423)</w:t>
            </w:r>
          </w:p>
        </w:tc>
        <w:tc>
          <w:tcPr>
            <w:tcW w:w="1283" w:type="dxa"/>
            <w:tcBorders>
              <w:top w:val="single" w:sz="4" w:space="0" w:color="auto"/>
              <w:left w:val="single" w:sz="4" w:space="0" w:color="auto"/>
              <w:bottom w:val="single" w:sz="4" w:space="0" w:color="auto"/>
              <w:right w:val="single" w:sz="4" w:space="0" w:color="auto"/>
            </w:tcBorders>
            <w:noWrap/>
            <w:vAlign w:val="bottom"/>
          </w:tcPr>
          <w:p w14:paraId="546D41A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(0.0412)</w:t>
            </w:r>
          </w:p>
        </w:tc>
      </w:tr>
      <w:tr w:rsidR="00D55B26" w:rsidRPr="00C16329" w14:paraId="1399E080"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79210B99"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Female</w:t>
            </w:r>
          </w:p>
        </w:tc>
        <w:tc>
          <w:tcPr>
            <w:tcW w:w="1073" w:type="dxa"/>
            <w:tcBorders>
              <w:top w:val="single" w:sz="4" w:space="0" w:color="auto"/>
              <w:left w:val="single" w:sz="4" w:space="0" w:color="auto"/>
              <w:bottom w:val="single" w:sz="4" w:space="0" w:color="auto"/>
              <w:right w:val="single" w:sz="4" w:space="0" w:color="auto"/>
            </w:tcBorders>
            <w:noWrap/>
            <w:vAlign w:val="bottom"/>
          </w:tcPr>
          <w:p w14:paraId="03C6E9A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0.150</w:t>
            </w:r>
          </w:p>
        </w:tc>
        <w:tc>
          <w:tcPr>
            <w:tcW w:w="1196" w:type="dxa"/>
            <w:tcBorders>
              <w:top w:val="single" w:sz="4" w:space="0" w:color="auto"/>
              <w:left w:val="single" w:sz="4" w:space="0" w:color="auto"/>
              <w:bottom w:val="single" w:sz="4" w:space="0" w:color="auto"/>
              <w:right w:val="single" w:sz="4" w:space="0" w:color="auto"/>
            </w:tcBorders>
            <w:noWrap/>
            <w:vAlign w:val="bottom"/>
          </w:tcPr>
          <w:p w14:paraId="00FDF23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0.139</w:t>
            </w:r>
          </w:p>
        </w:tc>
        <w:tc>
          <w:tcPr>
            <w:tcW w:w="1205" w:type="dxa"/>
            <w:tcBorders>
              <w:top w:val="single" w:sz="4" w:space="0" w:color="auto"/>
              <w:left w:val="single" w:sz="4" w:space="0" w:color="auto"/>
              <w:bottom w:val="single" w:sz="4" w:space="0" w:color="auto"/>
              <w:right w:val="single" w:sz="4" w:space="0" w:color="auto"/>
            </w:tcBorders>
            <w:noWrap/>
            <w:vAlign w:val="bottom"/>
          </w:tcPr>
          <w:p w14:paraId="29415C2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0.350</w:t>
            </w:r>
          </w:p>
        </w:tc>
        <w:tc>
          <w:tcPr>
            <w:tcW w:w="1083" w:type="dxa"/>
            <w:tcBorders>
              <w:top w:val="single" w:sz="4" w:space="0" w:color="auto"/>
              <w:left w:val="single" w:sz="4" w:space="0" w:color="auto"/>
              <w:bottom w:val="single" w:sz="4" w:space="0" w:color="auto"/>
              <w:right w:val="single" w:sz="4" w:space="0" w:color="auto"/>
            </w:tcBorders>
            <w:noWrap/>
            <w:vAlign w:val="bottom"/>
          </w:tcPr>
          <w:p w14:paraId="4B7924E7"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0.403*</w:t>
            </w:r>
          </w:p>
        </w:tc>
        <w:tc>
          <w:tcPr>
            <w:tcW w:w="1283" w:type="dxa"/>
            <w:tcBorders>
              <w:top w:val="single" w:sz="4" w:space="0" w:color="auto"/>
              <w:left w:val="single" w:sz="4" w:space="0" w:color="auto"/>
              <w:bottom w:val="single" w:sz="4" w:space="0" w:color="auto"/>
              <w:right w:val="single" w:sz="4" w:space="0" w:color="auto"/>
            </w:tcBorders>
            <w:noWrap/>
            <w:vAlign w:val="bottom"/>
          </w:tcPr>
          <w:p w14:paraId="0189840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-0.329</w:t>
            </w:r>
          </w:p>
        </w:tc>
      </w:tr>
      <w:tr w:rsidR="00D55B26" w:rsidRPr="00C16329" w14:paraId="73C9E12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1464294"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4F74EFF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(0.147)</w:t>
            </w:r>
          </w:p>
        </w:tc>
        <w:tc>
          <w:tcPr>
            <w:tcW w:w="1196" w:type="dxa"/>
            <w:tcBorders>
              <w:top w:val="single" w:sz="4" w:space="0" w:color="auto"/>
              <w:left w:val="single" w:sz="4" w:space="0" w:color="auto"/>
              <w:bottom w:val="single" w:sz="4" w:space="0" w:color="auto"/>
              <w:right w:val="single" w:sz="4" w:space="0" w:color="auto"/>
            </w:tcBorders>
            <w:noWrap/>
            <w:vAlign w:val="bottom"/>
          </w:tcPr>
          <w:p w14:paraId="5426777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(0.148)</w:t>
            </w:r>
          </w:p>
        </w:tc>
        <w:tc>
          <w:tcPr>
            <w:tcW w:w="1205" w:type="dxa"/>
            <w:tcBorders>
              <w:top w:val="single" w:sz="4" w:space="0" w:color="auto"/>
              <w:left w:val="single" w:sz="4" w:space="0" w:color="auto"/>
              <w:bottom w:val="single" w:sz="4" w:space="0" w:color="auto"/>
              <w:right w:val="single" w:sz="4" w:space="0" w:color="auto"/>
            </w:tcBorders>
            <w:noWrap/>
            <w:vAlign w:val="bottom"/>
          </w:tcPr>
          <w:p w14:paraId="62C0D55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(0.284)</w:t>
            </w:r>
          </w:p>
        </w:tc>
        <w:tc>
          <w:tcPr>
            <w:tcW w:w="1083" w:type="dxa"/>
            <w:tcBorders>
              <w:top w:val="single" w:sz="4" w:space="0" w:color="auto"/>
              <w:left w:val="single" w:sz="4" w:space="0" w:color="auto"/>
              <w:bottom w:val="single" w:sz="4" w:space="0" w:color="auto"/>
              <w:right w:val="single" w:sz="4" w:space="0" w:color="auto"/>
            </w:tcBorders>
            <w:noWrap/>
            <w:vAlign w:val="bottom"/>
          </w:tcPr>
          <w:p w14:paraId="1AC603D0"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(0.230)</w:t>
            </w:r>
          </w:p>
        </w:tc>
        <w:tc>
          <w:tcPr>
            <w:tcW w:w="1283" w:type="dxa"/>
            <w:tcBorders>
              <w:top w:val="single" w:sz="4" w:space="0" w:color="auto"/>
              <w:left w:val="single" w:sz="4" w:space="0" w:color="auto"/>
              <w:bottom w:val="single" w:sz="4" w:space="0" w:color="auto"/>
              <w:right w:val="single" w:sz="4" w:space="0" w:color="auto"/>
            </w:tcBorders>
            <w:noWrap/>
            <w:vAlign w:val="bottom"/>
          </w:tcPr>
          <w:p w14:paraId="398D10C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(0.227)</w:t>
            </w:r>
          </w:p>
        </w:tc>
      </w:tr>
      <w:tr w:rsidR="00D55B26" w:rsidRPr="00C16329" w14:paraId="5FB58CC1"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2CEC7B2"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Knowledge</w:t>
            </w:r>
          </w:p>
        </w:tc>
        <w:tc>
          <w:tcPr>
            <w:tcW w:w="1073" w:type="dxa"/>
            <w:tcBorders>
              <w:top w:val="single" w:sz="4" w:space="0" w:color="auto"/>
              <w:left w:val="single" w:sz="4" w:space="0" w:color="auto"/>
              <w:bottom w:val="single" w:sz="4" w:space="0" w:color="auto"/>
              <w:right w:val="single" w:sz="4" w:space="0" w:color="auto"/>
            </w:tcBorders>
            <w:noWrap/>
            <w:vAlign w:val="bottom"/>
          </w:tcPr>
          <w:p w14:paraId="71CFB25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-0.104</w:t>
            </w:r>
          </w:p>
        </w:tc>
        <w:tc>
          <w:tcPr>
            <w:tcW w:w="1196" w:type="dxa"/>
            <w:tcBorders>
              <w:top w:val="single" w:sz="4" w:space="0" w:color="auto"/>
              <w:left w:val="single" w:sz="4" w:space="0" w:color="auto"/>
              <w:bottom w:val="single" w:sz="4" w:space="0" w:color="auto"/>
              <w:right w:val="single" w:sz="4" w:space="0" w:color="auto"/>
            </w:tcBorders>
            <w:noWrap/>
            <w:vAlign w:val="bottom"/>
          </w:tcPr>
          <w:p w14:paraId="47F9495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-0.107</w:t>
            </w:r>
          </w:p>
        </w:tc>
        <w:tc>
          <w:tcPr>
            <w:tcW w:w="1205" w:type="dxa"/>
            <w:tcBorders>
              <w:top w:val="single" w:sz="4" w:space="0" w:color="auto"/>
              <w:left w:val="single" w:sz="4" w:space="0" w:color="auto"/>
              <w:bottom w:val="single" w:sz="4" w:space="0" w:color="auto"/>
              <w:right w:val="single" w:sz="4" w:space="0" w:color="auto"/>
            </w:tcBorders>
            <w:noWrap/>
            <w:vAlign w:val="bottom"/>
          </w:tcPr>
          <w:p w14:paraId="417F35C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-0.198</w:t>
            </w:r>
          </w:p>
        </w:tc>
        <w:tc>
          <w:tcPr>
            <w:tcW w:w="1083" w:type="dxa"/>
            <w:tcBorders>
              <w:top w:val="single" w:sz="4" w:space="0" w:color="auto"/>
              <w:left w:val="single" w:sz="4" w:space="0" w:color="auto"/>
              <w:bottom w:val="single" w:sz="4" w:space="0" w:color="auto"/>
              <w:right w:val="single" w:sz="4" w:space="0" w:color="auto"/>
            </w:tcBorders>
            <w:noWrap/>
            <w:vAlign w:val="bottom"/>
          </w:tcPr>
          <w:p w14:paraId="483F868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-0.221*</w:t>
            </w:r>
          </w:p>
        </w:tc>
        <w:tc>
          <w:tcPr>
            <w:tcW w:w="1283" w:type="dxa"/>
            <w:tcBorders>
              <w:top w:val="single" w:sz="4" w:space="0" w:color="auto"/>
              <w:left w:val="single" w:sz="4" w:space="0" w:color="auto"/>
              <w:bottom w:val="single" w:sz="4" w:space="0" w:color="auto"/>
              <w:right w:val="single" w:sz="4" w:space="0" w:color="auto"/>
            </w:tcBorders>
            <w:noWrap/>
            <w:vAlign w:val="bottom"/>
          </w:tcPr>
          <w:p w14:paraId="48181A4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-0.0655</w:t>
            </w:r>
          </w:p>
        </w:tc>
      </w:tr>
      <w:tr w:rsidR="00D55B26" w:rsidRPr="00C16329" w14:paraId="28224F7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52E5BC54"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5276B1C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(0.0733)</w:t>
            </w:r>
          </w:p>
        </w:tc>
        <w:tc>
          <w:tcPr>
            <w:tcW w:w="1196" w:type="dxa"/>
            <w:tcBorders>
              <w:top w:val="single" w:sz="4" w:space="0" w:color="auto"/>
              <w:left w:val="single" w:sz="4" w:space="0" w:color="auto"/>
              <w:bottom w:val="single" w:sz="4" w:space="0" w:color="auto"/>
              <w:right w:val="single" w:sz="4" w:space="0" w:color="auto"/>
            </w:tcBorders>
            <w:noWrap/>
            <w:vAlign w:val="bottom"/>
          </w:tcPr>
          <w:p w14:paraId="2E8F72F7"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(0.0731)</w:t>
            </w:r>
          </w:p>
        </w:tc>
        <w:tc>
          <w:tcPr>
            <w:tcW w:w="1205" w:type="dxa"/>
            <w:tcBorders>
              <w:top w:val="single" w:sz="4" w:space="0" w:color="auto"/>
              <w:left w:val="single" w:sz="4" w:space="0" w:color="auto"/>
              <w:bottom w:val="single" w:sz="4" w:space="0" w:color="auto"/>
              <w:right w:val="single" w:sz="4" w:space="0" w:color="auto"/>
            </w:tcBorders>
            <w:noWrap/>
            <w:vAlign w:val="bottom"/>
          </w:tcPr>
          <w:p w14:paraId="503A4CB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(0.140)</w:t>
            </w:r>
          </w:p>
        </w:tc>
        <w:tc>
          <w:tcPr>
            <w:tcW w:w="1083" w:type="dxa"/>
            <w:tcBorders>
              <w:top w:val="single" w:sz="4" w:space="0" w:color="auto"/>
              <w:left w:val="single" w:sz="4" w:space="0" w:color="auto"/>
              <w:bottom w:val="single" w:sz="4" w:space="0" w:color="auto"/>
              <w:right w:val="single" w:sz="4" w:space="0" w:color="auto"/>
            </w:tcBorders>
            <w:noWrap/>
            <w:vAlign w:val="bottom"/>
          </w:tcPr>
          <w:p w14:paraId="679ED4C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(0.115)</w:t>
            </w:r>
          </w:p>
        </w:tc>
        <w:tc>
          <w:tcPr>
            <w:tcW w:w="1283" w:type="dxa"/>
            <w:tcBorders>
              <w:top w:val="single" w:sz="4" w:space="0" w:color="auto"/>
              <w:left w:val="single" w:sz="4" w:space="0" w:color="auto"/>
              <w:bottom w:val="single" w:sz="4" w:space="0" w:color="auto"/>
              <w:right w:val="single" w:sz="4" w:space="0" w:color="auto"/>
            </w:tcBorders>
            <w:noWrap/>
            <w:vAlign w:val="bottom"/>
          </w:tcPr>
          <w:p w14:paraId="535612F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(0.112)</w:t>
            </w:r>
          </w:p>
        </w:tc>
      </w:tr>
      <w:tr w:rsidR="00D55B26" w:rsidRPr="00C16329" w14:paraId="04013926"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74E875B"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Corruption</w:t>
            </w:r>
          </w:p>
        </w:tc>
        <w:tc>
          <w:tcPr>
            <w:tcW w:w="1073" w:type="dxa"/>
            <w:tcBorders>
              <w:top w:val="single" w:sz="4" w:space="0" w:color="auto"/>
              <w:left w:val="single" w:sz="4" w:space="0" w:color="auto"/>
              <w:bottom w:val="single" w:sz="4" w:space="0" w:color="auto"/>
              <w:right w:val="single" w:sz="4" w:space="0" w:color="auto"/>
            </w:tcBorders>
            <w:noWrap/>
            <w:vAlign w:val="bottom"/>
          </w:tcPr>
          <w:p w14:paraId="2AAB77B7"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-0.505***</w:t>
            </w:r>
          </w:p>
        </w:tc>
        <w:tc>
          <w:tcPr>
            <w:tcW w:w="1196" w:type="dxa"/>
            <w:tcBorders>
              <w:top w:val="single" w:sz="4" w:space="0" w:color="auto"/>
              <w:left w:val="single" w:sz="4" w:space="0" w:color="auto"/>
              <w:bottom w:val="single" w:sz="4" w:space="0" w:color="auto"/>
              <w:right w:val="single" w:sz="4" w:space="0" w:color="auto"/>
            </w:tcBorders>
            <w:noWrap/>
            <w:vAlign w:val="bottom"/>
          </w:tcPr>
          <w:p w14:paraId="0F1C702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-0.492***</w:t>
            </w:r>
          </w:p>
        </w:tc>
        <w:tc>
          <w:tcPr>
            <w:tcW w:w="1205" w:type="dxa"/>
            <w:tcBorders>
              <w:top w:val="single" w:sz="4" w:space="0" w:color="auto"/>
              <w:left w:val="single" w:sz="4" w:space="0" w:color="auto"/>
              <w:bottom w:val="single" w:sz="4" w:space="0" w:color="auto"/>
              <w:right w:val="single" w:sz="4" w:space="0" w:color="auto"/>
            </w:tcBorders>
            <w:noWrap/>
            <w:vAlign w:val="bottom"/>
          </w:tcPr>
          <w:p w14:paraId="5107B613"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-0.288*</w:t>
            </w:r>
          </w:p>
        </w:tc>
        <w:tc>
          <w:tcPr>
            <w:tcW w:w="1083" w:type="dxa"/>
            <w:tcBorders>
              <w:top w:val="single" w:sz="4" w:space="0" w:color="auto"/>
              <w:left w:val="single" w:sz="4" w:space="0" w:color="auto"/>
              <w:bottom w:val="single" w:sz="4" w:space="0" w:color="auto"/>
              <w:right w:val="single" w:sz="4" w:space="0" w:color="auto"/>
            </w:tcBorders>
            <w:noWrap/>
            <w:vAlign w:val="bottom"/>
          </w:tcPr>
          <w:p w14:paraId="2FE0E74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-0.436***</w:t>
            </w:r>
          </w:p>
        </w:tc>
        <w:tc>
          <w:tcPr>
            <w:tcW w:w="1283" w:type="dxa"/>
            <w:tcBorders>
              <w:top w:val="single" w:sz="4" w:space="0" w:color="auto"/>
              <w:left w:val="single" w:sz="4" w:space="0" w:color="auto"/>
              <w:bottom w:val="single" w:sz="4" w:space="0" w:color="auto"/>
              <w:right w:val="single" w:sz="4" w:space="0" w:color="auto"/>
            </w:tcBorders>
            <w:noWrap/>
            <w:vAlign w:val="bottom"/>
          </w:tcPr>
          <w:p w14:paraId="621613C4"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-0.512***</w:t>
            </w:r>
          </w:p>
        </w:tc>
      </w:tr>
      <w:tr w:rsidR="00D55B26" w:rsidRPr="00C16329" w14:paraId="08EE7C8D"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DFA0C58"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3CB865E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(0.0851)</w:t>
            </w:r>
          </w:p>
        </w:tc>
        <w:tc>
          <w:tcPr>
            <w:tcW w:w="1196" w:type="dxa"/>
            <w:tcBorders>
              <w:top w:val="single" w:sz="4" w:space="0" w:color="auto"/>
              <w:left w:val="single" w:sz="4" w:space="0" w:color="auto"/>
              <w:bottom w:val="single" w:sz="4" w:space="0" w:color="auto"/>
              <w:right w:val="single" w:sz="4" w:space="0" w:color="auto"/>
            </w:tcBorders>
            <w:noWrap/>
            <w:vAlign w:val="bottom"/>
          </w:tcPr>
          <w:p w14:paraId="092967B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(0.0851)</w:t>
            </w:r>
          </w:p>
        </w:tc>
        <w:tc>
          <w:tcPr>
            <w:tcW w:w="1205" w:type="dxa"/>
            <w:tcBorders>
              <w:top w:val="single" w:sz="4" w:space="0" w:color="auto"/>
              <w:left w:val="single" w:sz="4" w:space="0" w:color="auto"/>
              <w:bottom w:val="single" w:sz="4" w:space="0" w:color="auto"/>
              <w:right w:val="single" w:sz="4" w:space="0" w:color="auto"/>
            </w:tcBorders>
            <w:noWrap/>
            <w:vAlign w:val="bottom"/>
          </w:tcPr>
          <w:p w14:paraId="147DB94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(0.158)</w:t>
            </w:r>
          </w:p>
        </w:tc>
        <w:tc>
          <w:tcPr>
            <w:tcW w:w="1083" w:type="dxa"/>
            <w:tcBorders>
              <w:top w:val="single" w:sz="4" w:space="0" w:color="auto"/>
              <w:left w:val="single" w:sz="4" w:space="0" w:color="auto"/>
              <w:bottom w:val="single" w:sz="4" w:space="0" w:color="auto"/>
              <w:right w:val="single" w:sz="4" w:space="0" w:color="auto"/>
            </w:tcBorders>
            <w:noWrap/>
            <w:vAlign w:val="bottom"/>
          </w:tcPr>
          <w:p w14:paraId="363A40D9"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(0.138)</w:t>
            </w:r>
          </w:p>
        </w:tc>
        <w:tc>
          <w:tcPr>
            <w:tcW w:w="1283" w:type="dxa"/>
            <w:tcBorders>
              <w:top w:val="single" w:sz="4" w:space="0" w:color="auto"/>
              <w:left w:val="single" w:sz="4" w:space="0" w:color="auto"/>
              <w:bottom w:val="single" w:sz="4" w:space="0" w:color="auto"/>
              <w:right w:val="single" w:sz="4" w:space="0" w:color="auto"/>
            </w:tcBorders>
            <w:noWrap/>
            <w:vAlign w:val="bottom"/>
          </w:tcPr>
          <w:p w14:paraId="73D68D0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(0.129)</w:t>
            </w:r>
          </w:p>
        </w:tc>
      </w:tr>
      <w:tr w:rsidR="00D55B26" w:rsidRPr="00C16329" w14:paraId="797F7C42"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02CE9B1"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Constant</w:t>
            </w:r>
          </w:p>
        </w:tc>
        <w:tc>
          <w:tcPr>
            <w:tcW w:w="1073" w:type="dxa"/>
            <w:tcBorders>
              <w:top w:val="single" w:sz="4" w:space="0" w:color="auto"/>
              <w:left w:val="single" w:sz="4" w:space="0" w:color="auto"/>
              <w:bottom w:val="single" w:sz="4" w:space="0" w:color="auto"/>
              <w:right w:val="single" w:sz="4" w:space="0" w:color="auto"/>
            </w:tcBorders>
            <w:noWrap/>
            <w:vAlign w:val="bottom"/>
          </w:tcPr>
          <w:p w14:paraId="160DF52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5.719***</w:t>
            </w:r>
          </w:p>
        </w:tc>
        <w:tc>
          <w:tcPr>
            <w:tcW w:w="1196" w:type="dxa"/>
            <w:tcBorders>
              <w:top w:val="single" w:sz="4" w:space="0" w:color="auto"/>
              <w:left w:val="single" w:sz="4" w:space="0" w:color="auto"/>
              <w:bottom w:val="single" w:sz="4" w:space="0" w:color="auto"/>
              <w:right w:val="single" w:sz="4" w:space="0" w:color="auto"/>
            </w:tcBorders>
            <w:noWrap/>
            <w:vAlign w:val="bottom"/>
          </w:tcPr>
          <w:p w14:paraId="3083C34C"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5.629***</w:t>
            </w:r>
          </w:p>
        </w:tc>
        <w:tc>
          <w:tcPr>
            <w:tcW w:w="1205" w:type="dxa"/>
            <w:tcBorders>
              <w:top w:val="single" w:sz="4" w:space="0" w:color="auto"/>
              <w:left w:val="single" w:sz="4" w:space="0" w:color="auto"/>
              <w:bottom w:val="single" w:sz="4" w:space="0" w:color="auto"/>
              <w:right w:val="single" w:sz="4" w:space="0" w:color="auto"/>
            </w:tcBorders>
            <w:noWrap/>
            <w:vAlign w:val="bottom"/>
          </w:tcPr>
          <w:p w14:paraId="49E80F6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6.223***</w:t>
            </w:r>
          </w:p>
        </w:tc>
        <w:tc>
          <w:tcPr>
            <w:tcW w:w="1083" w:type="dxa"/>
            <w:tcBorders>
              <w:top w:val="single" w:sz="4" w:space="0" w:color="auto"/>
              <w:left w:val="single" w:sz="4" w:space="0" w:color="auto"/>
              <w:bottom w:val="single" w:sz="4" w:space="0" w:color="auto"/>
              <w:right w:val="single" w:sz="4" w:space="0" w:color="auto"/>
            </w:tcBorders>
            <w:noWrap/>
            <w:vAlign w:val="bottom"/>
          </w:tcPr>
          <w:p w14:paraId="66A4BA1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4.291***</w:t>
            </w:r>
          </w:p>
        </w:tc>
        <w:tc>
          <w:tcPr>
            <w:tcW w:w="1283" w:type="dxa"/>
            <w:tcBorders>
              <w:top w:val="single" w:sz="4" w:space="0" w:color="auto"/>
              <w:left w:val="single" w:sz="4" w:space="0" w:color="auto"/>
              <w:bottom w:val="single" w:sz="4" w:space="0" w:color="auto"/>
              <w:right w:val="single" w:sz="4" w:space="0" w:color="auto"/>
            </w:tcBorders>
            <w:noWrap/>
            <w:vAlign w:val="bottom"/>
          </w:tcPr>
          <w:p w14:paraId="5884CB7E"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6.541***</w:t>
            </w:r>
          </w:p>
        </w:tc>
      </w:tr>
      <w:tr w:rsidR="00D55B26" w:rsidRPr="00C16329" w14:paraId="10CDC7C8"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2ACEE7DD"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5EA1D4BD"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(0.327)</w:t>
            </w:r>
          </w:p>
        </w:tc>
        <w:tc>
          <w:tcPr>
            <w:tcW w:w="1196" w:type="dxa"/>
            <w:tcBorders>
              <w:top w:val="single" w:sz="4" w:space="0" w:color="auto"/>
              <w:left w:val="single" w:sz="4" w:space="0" w:color="auto"/>
              <w:bottom w:val="single" w:sz="4" w:space="0" w:color="auto"/>
              <w:right w:val="single" w:sz="4" w:space="0" w:color="auto"/>
            </w:tcBorders>
            <w:noWrap/>
            <w:vAlign w:val="bottom"/>
          </w:tcPr>
          <w:p w14:paraId="016B2D22"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(0.343)</w:t>
            </w:r>
          </w:p>
        </w:tc>
        <w:tc>
          <w:tcPr>
            <w:tcW w:w="1205" w:type="dxa"/>
            <w:tcBorders>
              <w:top w:val="single" w:sz="4" w:space="0" w:color="auto"/>
              <w:left w:val="single" w:sz="4" w:space="0" w:color="auto"/>
              <w:bottom w:val="single" w:sz="4" w:space="0" w:color="auto"/>
              <w:right w:val="single" w:sz="4" w:space="0" w:color="auto"/>
            </w:tcBorders>
            <w:noWrap/>
            <w:vAlign w:val="bottom"/>
          </w:tcPr>
          <w:p w14:paraId="07AF15F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(0.742)</w:t>
            </w:r>
          </w:p>
        </w:tc>
        <w:tc>
          <w:tcPr>
            <w:tcW w:w="1083" w:type="dxa"/>
            <w:tcBorders>
              <w:top w:val="single" w:sz="4" w:space="0" w:color="auto"/>
              <w:left w:val="single" w:sz="4" w:space="0" w:color="auto"/>
              <w:bottom w:val="single" w:sz="4" w:space="0" w:color="auto"/>
              <w:right w:val="single" w:sz="4" w:space="0" w:color="auto"/>
            </w:tcBorders>
            <w:noWrap/>
            <w:vAlign w:val="bottom"/>
          </w:tcPr>
          <w:p w14:paraId="62EB844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(0.509)</w:t>
            </w:r>
          </w:p>
        </w:tc>
        <w:tc>
          <w:tcPr>
            <w:tcW w:w="1283" w:type="dxa"/>
            <w:tcBorders>
              <w:top w:val="single" w:sz="4" w:space="0" w:color="auto"/>
              <w:left w:val="single" w:sz="4" w:space="0" w:color="auto"/>
              <w:bottom w:val="single" w:sz="4" w:space="0" w:color="auto"/>
              <w:right w:val="single" w:sz="4" w:space="0" w:color="auto"/>
            </w:tcBorders>
            <w:noWrap/>
            <w:vAlign w:val="bottom"/>
          </w:tcPr>
          <w:p w14:paraId="003F207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(0.487)</w:t>
            </w:r>
          </w:p>
        </w:tc>
      </w:tr>
      <w:tr w:rsidR="00D55B26" w:rsidRPr="00C16329" w14:paraId="19143E28"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417606DE" w14:textId="77777777" w:rsidR="00D55B26" w:rsidRPr="009C6A68" w:rsidRDefault="00D55B26" w:rsidP="00C24955">
            <w:pPr>
              <w:widowControl/>
              <w:suppressAutoHyphens w:val="0"/>
              <w:rPr>
                <w:kern w:val="0"/>
                <w:sz w:val="20"/>
                <w:szCs w:val="20"/>
                <w:lang w:eastAsia="ko-KR"/>
              </w:rPr>
            </w:pPr>
          </w:p>
        </w:tc>
        <w:tc>
          <w:tcPr>
            <w:tcW w:w="1073" w:type="dxa"/>
            <w:tcBorders>
              <w:top w:val="single" w:sz="4" w:space="0" w:color="auto"/>
              <w:left w:val="single" w:sz="4" w:space="0" w:color="auto"/>
              <w:bottom w:val="single" w:sz="4" w:space="0" w:color="auto"/>
              <w:right w:val="single" w:sz="4" w:space="0" w:color="auto"/>
            </w:tcBorders>
            <w:noWrap/>
            <w:vAlign w:val="bottom"/>
          </w:tcPr>
          <w:p w14:paraId="67F2583B" w14:textId="77777777" w:rsidR="00D55B26" w:rsidRPr="009C6A68" w:rsidRDefault="00D55B26" w:rsidP="00C24955">
            <w:pPr>
              <w:widowControl/>
              <w:suppressAutoHyphens w:val="0"/>
              <w:jc w:val="center"/>
              <w:rPr>
                <w:kern w:val="0"/>
                <w:sz w:val="20"/>
                <w:szCs w:val="20"/>
                <w:lang w:eastAsia="ko-KR"/>
              </w:rPr>
            </w:pPr>
          </w:p>
        </w:tc>
        <w:tc>
          <w:tcPr>
            <w:tcW w:w="1196" w:type="dxa"/>
            <w:tcBorders>
              <w:top w:val="single" w:sz="4" w:space="0" w:color="auto"/>
              <w:left w:val="single" w:sz="4" w:space="0" w:color="auto"/>
              <w:bottom w:val="single" w:sz="4" w:space="0" w:color="auto"/>
              <w:right w:val="single" w:sz="4" w:space="0" w:color="auto"/>
            </w:tcBorders>
            <w:noWrap/>
            <w:vAlign w:val="bottom"/>
          </w:tcPr>
          <w:p w14:paraId="572FBCD4" w14:textId="77777777" w:rsidR="00D55B26" w:rsidRPr="009C6A68" w:rsidRDefault="00D55B26" w:rsidP="00C24955">
            <w:pPr>
              <w:widowControl/>
              <w:suppressAutoHyphens w:val="0"/>
              <w:jc w:val="center"/>
              <w:rPr>
                <w:kern w:val="0"/>
                <w:sz w:val="20"/>
                <w:szCs w:val="20"/>
                <w:lang w:eastAsia="ko-KR"/>
              </w:rPr>
            </w:pPr>
          </w:p>
        </w:tc>
        <w:tc>
          <w:tcPr>
            <w:tcW w:w="1205" w:type="dxa"/>
            <w:tcBorders>
              <w:top w:val="single" w:sz="4" w:space="0" w:color="auto"/>
              <w:left w:val="single" w:sz="4" w:space="0" w:color="auto"/>
              <w:bottom w:val="single" w:sz="4" w:space="0" w:color="auto"/>
              <w:right w:val="single" w:sz="4" w:space="0" w:color="auto"/>
            </w:tcBorders>
            <w:noWrap/>
            <w:vAlign w:val="bottom"/>
          </w:tcPr>
          <w:p w14:paraId="5D6BF259" w14:textId="77777777" w:rsidR="00D55B26" w:rsidRPr="009C6A68" w:rsidRDefault="00D55B26" w:rsidP="00C24955">
            <w:pPr>
              <w:widowControl/>
              <w:suppressAutoHyphens w:val="0"/>
              <w:jc w:val="center"/>
              <w:rPr>
                <w:kern w:val="0"/>
                <w:sz w:val="20"/>
                <w:szCs w:val="20"/>
                <w:lang w:eastAsia="ko-KR"/>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113D184D" w14:textId="77777777" w:rsidR="00D55B26" w:rsidRPr="009C6A68" w:rsidRDefault="00D55B26" w:rsidP="00C24955">
            <w:pPr>
              <w:widowControl/>
              <w:suppressAutoHyphens w:val="0"/>
              <w:jc w:val="center"/>
              <w:rPr>
                <w:kern w:val="0"/>
                <w:sz w:val="20"/>
                <w:szCs w:val="20"/>
                <w:lang w:eastAsia="ko-KR"/>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6FD9FEE3" w14:textId="77777777" w:rsidR="00D55B26" w:rsidRPr="009C6A68" w:rsidRDefault="00D55B26" w:rsidP="00C24955">
            <w:pPr>
              <w:widowControl/>
              <w:suppressAutoHyphens w:val="0"/>
              <w:jc w:val="center"/>
              <w:rPr>
                <w:kern w:val="0"/>
                <w:sz w:val="20"/>
                <w:szCs w:val="20"/>
                <w:lang w:eastAsia="ko-KR"/>
              </w:rPr>
            </w:pPr>
          </w:p>
        </w:tc>
      </w:tr>
      <w:tr w:rsidR="00D55B26" w:rsidRPr="00C16329" w14:paraId="6CEB446C"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38A14964"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Observations</w:t>
            </w:r>
          </w:p>
        </w:tc>
        <w:tc>
          <w:tcPr>
            <w:tcW w:w="1073" w:type="dxa"/>
            <w:tcBorders>
              <w:top w:val="single" w:sz="4" w:space="0" w:color="auto"/>
              <w:left w:val="single" w:sz="4" w:space="0" w:color="auto"/>
              <w:bottom w:val="single" w:sz="4" w:space="0" w:color="auto"/>
              <w:right w:val="single" w:sz="4" w:space="0" w:color="auto"/>
            </w:tcBorders>
            <w:noWrap/>
            <w:vAlign w:val="bottom"/>
          </w:tcPr>
          <w:p w14:paraId="1E89586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1,520</w:t>
            </w:r>
          </w:p>
        </w:tc>
        <w:tc>
          <w:tcPr>
            <w:tcW w:w="1196" w:type="dxa"/>
            <w:tcBorders>
              <w:top w:val="single" w:sz="4" w:space="0" w:color="auto"/>
              <w:left w:val="single" w:sz="4" w:space="0" w:color="auto"/>
              <w:bottom w:val="single" w:sz="4" w:space="0" w:color="auto"/>
              <w:right w:val="single" w:sz="4" w:space="0" w:color="auto"/>
            </w:tcBorders>
            <w:noWrap/>
            <w:vAlign w:val="bottom"/>
          </w:tcPr>
          <w:p w14:paraId="1610F715"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1,520</w:t>
            </w:r>
          </w:p>
        </w:tc>
        <w:tc>
          <w:tcPr>
            <w:tcW w:w="1205" w:type="dxa"/>
            <w:tcBorders>
              <w:top w:val="single" w:sz="4" w:space="0" w:color="auto"/>
              <w:left w:val="single" w:sz="4" w:space="0" w:color="auto"/>
              <w:bottom w:val="single" w:sz="4" w:space="0" w:color="auto"/>
              <w:right w:val="single" w:sz="4" w:space="0" w:color="auto"/>
            </w:tcBorders>
            <w:noWrap/>
            <w:vAlign w:val="bottom"/>
          </w:tcPr>
          <w:p w14:paraId="23E392A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318</w:t>
            </w:r>
          </w:p>
        </w:tc>
        <w:tc>
          <w:tcPr>
            <w:tcW w:w="1083" w:type="dxa"/>
            <w:tcBorders>
              <w:top w:val="single" w:sz="4" w:space="0" w:color="auto"/>
              <w:left w:val="single" w:sz="4" w:space="0" w:color="auto"/>
              <w:bottom w:val="single" w:sz="4" w:space="0" w:color="auto"/>
              <w:right w:val="single" w:sz="4" w:space="0" w:color="auto"/>
            </w:tcBorders>
            <w:noWrap/>
            <w:vAlign w:val="bottom"/>
          </w:tcPr>
          <w:p w14:paraId="6C7F03E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617</w:t>
            </w:r>
          </w:p>
        </w:tc>
        <w:tc>
          <w:tcPr>
            <w:tcW w:w="1283" w:type="dxa"/>
            <w:tcBorders>
              <w:top w:val="single" w:sz="4" w:space="0" w:color="auto"/>
              <w:left w:val="single" w:sz="4" w:space="0" w:color="auto"/>
              <w:bottom w:val="single" w:sz="4" w:space="0" w:color="auto"/>
              <w:right w:val="single" w:sz="4" w:space="0" w:color="auto"/>
            </w:tcBorders>
            <w:noWrap/>
            <w:vAlign w:val="bottom"/>
          </w:tcPr>
          <w:p w14:paraId="5FC6E92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585</w:t>
            </w:r>
          </w:p>
        </w:tc>
      </w:tr>
      <w:tr w:rsidR="00D55B26" w:rsidRPr="00C16329" w14:paraId="03FB5959" w14:textId="77777777" w:rsidTr="00C24955">
        <w:trPr>
          <w:trHeight w:val="255"/>
        </w:trPr>
        <w:tc>
          <w:tcPr>
            <w:tcW w:w="2784" w:type="dxa"/>
            <w:tcBorders>
              <w:top w:val="single" w:sz="4" w:space="0" w:color="auto"/>
              <w:left w:val="single" w:sz="4" w:space="0" w:color="auto"/>
              <w:bottom w:val="single" w:sz="4" w:space="0" w:color="auto"/>
              <w:right w:val="single" w:sz="4" w:space="0" w:color="auto"/>
            </w:tcBorders>
            <w:noWrap/>
            <w:vAlign w:val="bottom"/>
          </w:tcPr>
          <w:p w14:paraId="18ACD979" w14:textId="77777777" w:rsidR="00D55B26" w:rsidRPr="009C6A68" w:rsidRDefault="00D55B26" w:rsidP="00C24955">
            <w:pPr>
              <w:widowControl/>
              <w:suppressAutoHyphens w:val="0"/>
              <w:rPr>
                <w:kern w:val="0"/>
                <w:sz w:val="20"/>
                <w:szCs w:val="20"/>
                <w:lang w:eastAsia="ko-KR"/>
              </w:rPr>
            </w:pPr>
            <w:r w:rsidRPr="009C6A68">
              <w:rPr>
                <w:kern w:val="0"/>
                <w:sz w:val="20"/>
                <w:szCs w:val="20"/>
                <w:lang w:eastAsia="ko-KR"/>
              </w:rPr>
              <w:t>R-squared</w:t>
            </w:r>
          </w:p>
        </w:tc>
        <w:tc>
          <w:tcPr>
            <w:tcW w:w="1073" w:type="dxa"/>
            <w:tcBorders>
              <w:top w:val="single" w:sz="4" w:space="0" w:color="auto"/>
              <w:left w:val="single" w:sz="4" w:space="0" w:color="auto"/>
              <w:bottom w:val="single" w:sz="4" w:space="0" w:color="auto"/>
              <w:right w:val="single" w:sz="4" w:space="0" w:color="auto"/>
            </w:tcBorders>
            <w:noWrap/>
            <w:vAlign w:val="bottom"/>
          </w:tcPr>
          <w:p w14:paraId="3A1FC2B6"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0.055</w:t>
            </w:r>
          </w:p>
        </w:tc>
        <w:tc>
          <w:tcPr>
            <w:tcW w:w="1196" w:type="dxa"/>
            <w:tcBorders>
              <w:top w:val="single" w:sz="4" w:space="0" w:color="auto"/>
              <w:left w:val="single" w:sz="4" w:space="0" w:color="auto"/>
              <w:bottom w:val="single" w:sz="4" w:space="0" w:color="auto"/>
              <w:right w:val="single" w:sz="4" w:space="0" w:color="auto"/>
            </w:tcBorders>
            <w:noWrap/>
            <w:vAlign w:val="bottom"/>
          </w:tcPr>
          <w:p w14:paraId="6F7D8C18"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0.066</w:t>
            </w:r>
          </w:p>
        </w:tc>
        <w:tc>
          <w:tcPr>
            <w:tcW w:w="1205" w:type="dxa"/>
            <w:tcBorders>
              <w:top w:val="single" w:sz="4" w:space="0" w:color="auto"/>
              <w:left w:val="single" w:sz="4" w:space="0" w:color="auto"/>
              <w:bottom w:val="single" w:sz="4" w:space="0" w:color="auto"/>
              <w:right w:val="single" w:sz="4" w:space="0" w:color="auto"/>
            </w:tcBorders>
            <w:noWrap/>
            <w:vAlign w:val="bottom"/>
          </w:tcPr>
          <w:p w14:paraId="3E74559A"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0.291</w:t>
            </w:r>
          </w:p>
        </w:tc>
        <w:tc>
          <w:tcPr>
            <w:tcW w:w="1083" w:type="dxa"/>
            <w:tcBorders>
              <w:top w:val="single" w:sz="4" w:space="0" w:color="auto"/>
              <w:left w:val="single" w:sz="4" w:space="0" w:color="auto"/>
              <w:bottom w:val="single" w:sz="4" w:space="0" w:color="auto"/>
              <w:right w:val="single" w:sz="4" w:space="0" w:color="auto"/>
            </w:tcBorders>
            <w:noWrap/>
            <w:vAlign w:val="bottom"/>
          </w:tcPr>
          <w:p w14:paraId="1004C98B"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0.234</w:t>
            </w:r>
          </w:p>
        </w:tc>
        <w:tc>
          <w:tcPr>
            <w:tcW w:w="1283" w:type="dxa"/>
            <w:tcBorders>
              <w:top w:val="single" w:sz="4" w:space="0" w:color="auto"/>
              <w:left w:val="single" w:sz="4" w:space="0" w:color="auto"/>
              <w:bottom w:val="single" w:sz="4" w:space="0" w:color="auto"/>
              <w:right w:val="single" w:sz="4" w:space="0" w:color="auto"/>
            </w:tcBorders>
            <w:noWrap/>
            <w:vAlign w:val="bottom"/>
          </w:tcPr>
          <w:p w14:paraId="22B48FBF" w14:textId="77777777" w:rsidR="00D55B26" w:rsidRPr="009C6A68" w:rsidRDefault="00D55B26" w:rsidP="00C24955">
            <w:pPr>
              <w:widowControl/>
              <w:suppressAutoHyphens w:val="0"/>
              <w:jc w:val="center"/>
              <w:rPr>
                <w:kern w:val="0"/>
                <w:sz w:val="20"/>
                <w:szCs w:val="20"/>
                <w:lang w:eastAsia="ko-KR"/>
              </w:rPr>
            </w:pPr>
            <w:r w:rsidRPr="009C6A68">
              <w:rPr>
                <w:kern w:val="0"/>
                <w:sz w:val="20"/>
                <w:szCs w:val="20"/>
                <w:lang w:eastAsia="ko-KR"/>
              </w:rPr>
              <w:t>0.098</w:t>
            </w:r>
          </w:p>
        </w:tc>
      </w:tr>
      <w:tr w:rsidR="00D55B26" w:rsidRPr="00C16329" w14:paraId="69191BF7" w14:textId="77777777" w:rsidTr="00C24955">
        <w:trPr>
          <w:trHeight w:val="255"/>
        </w:trPr>
        <w:tc>
          <w:tcPr>
            <w:tcW w:w="8624" w:type="dxa"/>
            <w:gridSpan w:val="6"/>
            <w:tcBorders>
              <w:top w:val="single" w:sz="4" w:space="0" w:color="auto"/>
              <w:left w:val="single" w:sz="4" w:space="0" w:color="auto"/>
              <w:bottom w:val="single" w:sz="4" w:space="0" w:color="auto"/>
              <w:right w:val="single" w:sz="4" w:space="0" w:color="auto"/>
            </w:tcBorders>
            <w:noWrap/>
            <w:vAlign w:val="bottom"/>
          </w:tcPr>
          <w:p w14:paraId="5C9F5F55" w14:textId="77777777" w:rsidR="00D55B26" w:rsidRPr="009740CE" w:rsidRDefault="00D55B26" w:rsidP="00C24955">
            <w:pPr>
              <w:widowControl/>
              <w:suppressAutoHyphens w:val="0"/>
              <w:rPr>
                <w:kern w:val="0"/>
                <w:sz w:val="20"/>
                <w:szCs w:val="20"/>
                <w:lang w:eastAsia="ko-KR"/>
              </w:rPr>
            </w:pPr>
            <w:r w:rsidRPr="009740CE">
              <w:rPr>
                <w:kern w:val="0"/>
                <w:sz w:val="20"/>
                <w:szCs w:val="20"/>
                <w:lang w:eastAsia="ko-KR"/>
              </w:rPr>
              <w:t>Standard errors in parentheses; *** p&lt;0.01, ** p&lt; 0.05, * p&lt; 0.1</w:t>
            </w:r>
          </w:p>
        </w:tc>
      </w:tr>
    </w:tbl>
    <w:p w14:paraId="0352B5A4" w14:textId="77777777" w:rsidR="00D55B26" w:rsidRPr="00C16329" w:rsidRDefault="00D55B26" w:rsidP="00D55B26">
      <w:pPr>
        <w:widowControl/>
        <w:suppressAutoHyphens w:val="0"/>
        <w:rPr>
          <w:sz w:val="22"/>
          <w:szCs w:val="22"/>
        </w:rPr>
      </w:pPr>
    </w:p>
    <w:p w14:paraId="170EFF11" w14:textId="77777777" w:rsidR="00D55B26" w:rsidRPr="00C16329" w:rsidRDefault="00D55B26" w:rsidP="00D55B26">
      <w:pPr>
        <w:widowControl/>
        <w:suppressAutoHyphens w:val="0"/>
        <w:rPr>
          <w:sz w:val="22"/>
          <w:szCs w:val="22"/>
        </w:rPr>
      </w:pPr>
    </w:p>
    <w:p w14:paraId="355BE248" w14:textId="77777777" w:rsidR="00D55B26" w:rsidRDefault="00D55B26" w:rsidP="00D55B26">
      <w:pPr>
        <w:widowControl/>
        <w:suppressAutoHyphens w:val="0"/>
      </w:pPr>
    </w:p>
    <w:sectPr w:rsidR="00D55B26" w:rsidSect="00967F42">
      <w:pgSz w:w="12240" w:h="15840"/>
      <w:pgMar w:top="1440" w:right="1440" w:bottom="1440" w:left="1440" w:header="1138" w:footer="11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BB79" w14:textId="77777777" w:rsidR="00286DFE" w:rsidRDefault="00286DFE" w:rsidP="00D55B26">
      <w:r>
        <w:separator/>
      </w:r>
    </w:p>
  </w:endnote>
  <w:endnote w:type="continuationSeparator" w:id="0">
    <w:p w14:paraId="059FA5FD" w14:textId="77777777" w:rsidR="00286DFE" w:rsidRDefault="00286DFE" w:rsidP="00D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56159"/>
      <w:docPartObj>
        <w:docPartGallery w:val="Page Numbers (Bottom of Page)"/>
        <w:docPartUnique/>
      </w:docPartObj>
    </w:sdtPr>
    <w:sdtEndPr>
      <w:rPr>
        <w:noProof/>
        <w:sz w:val="20"/>
        <w:szCs w:val="20"/>
      </w:rPr>
    </w:sdtEndPr>
    <w:sdtContent>
      <w:p w14:paraId="58397DE9" w14:textId="77777777" w:rsidR="00D238BC" w:rsidRPr="00C24955" w:rsidRDefault="00D238BC">
        <w:pPr>
          <w:pStyle w:val="Footer"/>
          <w:jc w:val="center"/>
          <w:rPr>
            <w:sz w:val="20"/>
            <w:szCs w:val="20"/>
          </w:rPr>
        </w:pPr>
        <w:r w:rsidRPr="00C24955">
          <w:rPr>
            <w:sz w:val="20"/>
            <w:szCs w:val="20"/>
          </w:rPr>
          <w:fldChar w:fldCharType="begin"/>
        </w:r>
        <w:r w:rsidRPr="00C24955">
          <w:rPr>
            <w:sz w:val="20"/>
            <w:szCs w:val="20"/>
          </w:rPr>
          <w:instrText xml:space="preserve"> PAGE   \* MERGEFORMAT </w:instrText>
        </w:r>
        <w:r w:rsidRPr="00C24955">
          <w:rPr>
            <w:sz w:val="20"/>
            <w:szCs w:val="20"/>
          </w:rPr>
          <w:fldChar w:fldCharType="separate"/>
        </w:r>
        <w:r w:rsidR="008B6040">
          <w:rPr>
            <w:noProof/>
            <w:sz w:val="20"/>
            <w:szCs w:val="20"/>
          </w:rPr>
          <w:t>0</w:t>
        </w:r>
        <w:r w:rsidRPr="00C24955">
          <w:rPr>
            <w:noProof/>
            <w:sz w:val="20"/>
            <w:szCs w:val="20"/>
          </w:rPr>
          <w:fldChar w:fldCharType="end"/>
        </w:r>
      </w:p>
    </w:sdtContent>
  </w:sdt>
  <w:p w14:paraId="30A03521" w14:textId="77777777" w:rsidR="00D238BC" w:rsidRPr="0076744F" w:rsidRDefault="00D238B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DB0B" w14:textId="77777777" w:rsidR="00286DFE" w:rsidRDefault="00286DFE" w:rsidP="00D55B26">
      <w:r>
        <w:separator/>
      </w:r>
    </w:p>
  </w:footnote>
  <w:footnote w:type="continuationSeparator" w:id="0">
    <w:p w14:paraId="73AA3F08" w14:textId="77777777" w:rsidR="00286DFE" w:rsidRDefault="00286DFE" w:rsidP="00D55B26">
      <w:r>
        <w:continuationSeparator/>
      </w:r>
    </w:p>
  </w:footnote>
  <w:footnote w:id="1">
    <w:p w14:paraId="0A72F3B5"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rStyle w:val="st"/>
          <w:rFonts w:eastAsia="PMingLiU"/>
          <w:sz w:val="24"/>
          <w:szCs w:val="24"/>
        </w:rPr>
        <w:t xml:space="preserve"> 424 U.S. 1 (1976).</w:t>
      </w:r>
    </w:p>
  </w:footnote>
  <w:footnote w:id="2">
    <w:p w14:paraId="76FC2491"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 informational role of campaign finance information has been long featured in theoretical models (Ingberman 1992; Coate 2004; Ashworth 2006). Researchers have also demonstrated the ability to recover the ideological positions of candidates using campaign contribution information (McCarty and Poole 1998; Boncia 2013), but these impressive results do not speak to the effect such information has on voter behavior. </w:t>
      </w:r>
    </w:p>
  </w:footnote>
  <w:footnote w:id="3">
    <w:p w14:paraId="4213C942"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 appellants did not seek the elimination of disclosure laws per se but claimed that those in FECA were overbroad, burdening small parties and independent candidates in particular. In fact, the appellants went so far as to argue that well-crafted disclosure rules alone were sufficient to address</w:t>
      </w:r>
      <w:r>
        <w:rPr>
          <w:sz w:val="24"/>
          <w:szCs w:val="24"/>
        </w:rPr>
        <w:t xml:space="preserve"> </w:t>
      </w:r>
      <w:r w:rsidRPr="00CD791D">
        <w:rPr>
          <w:sz w:val="24"/>
          <w:szCs w:val="24"/>
        </w:rPr>
        <w:t>concerns about the role of money in politics.</w:t>
      </w:r>
    </w:p>
  </w:footnote>
  <w:footnote w:id="4">
    <w:p w14:paraId="0C1CC91D"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 remaining arguments centered on the deterrence of corruption and enforcement of campaign finance laws.</w:t>
      </w:r>
    </w:p>
  </w:footnote>
  <w:footnote w:id="5">
    <w:p w14:paraId="475C12BC"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 negative manifestation of this is “guilt by association.” Despite the fact that </w:t>
      </w:r>
      <w:r>
        <w:rPr>
          <w:sz w:val="24"/>
          <w:szCs w:val="24"/>
        </w:rPr>
        <w:t xml:space="preserve">political consultants commonly </w:t>
      </w:r>
      <w:r w:rsidRPr="00CD791D">
        <w:rPr>
          <w:sz w:val="24"/>
          <w:szCs w:val="24"/>
        </w:rPr>
        <w:t xml:space="preserve">attempt to prod </w:t>
      </w:r>
      <w:r>
        <w:rPr>
          <w:sz w:val="24"/>
          <w:szCs w:val="24"/>
        </w:rPr>
        <w:t xml:space="preserve">this </w:t>
      </w:r>
      <w:r w:rsidRPr="00CD791D">
        <w:rPr>
          <w:sz w:val="24"/>
          <w:szCs w:val="24"/>
        </w:rPr>
        <w:t xml:space="preserve">in campaigns (e.g., Republican efforts to tie Barack Obama to Reverend Jeremiah Wright and William Ayers in 2008, and Democratic efforts to tie Mitt Romney to Senator Larry Craig in 2012), there is surprisingly little systematic empirical evidence </w:t>
      </w:r>
      <w:r>
        <w:rPr>
          <w:sz w:val="24"/>
          <w:szCs w:val="24"/>
        </w:rPr>
        <w:t xml:space="preserve">that </w:t>
      </w:r>
      <w:r w:rsidRPr="00CD791D">
        <w:rPr>
          <w:sz w:val="24"/>
          <w:szCs w:val="24"/>
        </w:rPr>
        <w:t>voters downgrade candidates based on their less well-regarded associates.</w:t>
      </w:r>
    </w:p>
  </w:footnote>
  <w:footnote w:id="6">
    <w:p w14:paraId="32478ECA" w14:textId="77777777" w:rsidR="00D238BC" w:rsidRPr="00CD791D" w:rsidRDefault="00D238BC" w:rsidP="00B67A1D">
      <w:pPr>
        <w:pStyle w:val="FootnoteText"/>
        <w:spacing w:line="480" w:lineRule="auto"/>
        <w:rPr>
          <w:sz w:val="24"/>
          <w:szCs w:val="24"/>
        </w:rPr>
      </w:pPr>
      <w:r w:rsidRPr="00CD791D">
        <w:rPr>
          <w:rStyle w:val="FootnoteReference"/>
          <w:sz w:val="24"/>
          <w:szCs w:val="24"/>
        </w:rPr>
        <w:footnoteRef/>
      </w:r>
      <w:r w:rsidRPr="00CD791D">
        <w:rPr>
          <w:sz w:val="24"/>
          <w:szCs w:val="24"/>
        </w:rPr>
        <w:t xml:space="preserve"> A complete description of the survey methodology is available upon request from the authors.</w:t>
      </w:r>
    </w:p>
  </w:footnote>
  <w:footnote w:id="7">
    <w:p w14:paraId="7E3DA2B6" w14:textId="77777777" w:rsidR="00D238BC" w:rsidRPr="00CD791D" w:rsidRDefault="00D238BC" w:rsidP="00B67A1D">
      <w:pPr>
        <w:pStyle w:val="FootnoteText"/>
        <w:spacing w:line="480" w:lineRule="auto"/>
        <w:rPr>
          <w:sz w:val="24"/>
          <w:szCs w:val="24"/>
        </w:rPr>
      </w:pPr>
      <w:r w:rsidRPr="00CD791D">
        <w:rPr>
          <w:rStyle w:val="FootnoteReference"/>
          <w:sz w:val="24"/>
          <w:szCs w:val="24"/>
        </w:rPr>
        <w:footnoteRef/>
      </w:r>
      <w:r w:rsidRPr="00CD791D">
        <w:rPr>
          <w:sz w:val="24"/>
          <w:szCs w:val="24"/>
        </w:rPr>
        <w:t xml:space="preserve"> Although Chris Jones is a</w:t>
      </w:r>
      <w:r>
        <w:rPr>
          <w:sz w:val="24"/>
          <w:szCs w:val="24"/>
        </w:rPr>
        <w:t xml:space="preserve">n </w:t>
      </w:r>
      <w:r w:rsidRPr="00CD791D">
        <w:rPr>
          <w:sz w:val="24"/>
          <w:szCs w:val="24"/>
        </w:rPr>
        <w:t>androgynous name, the candidate is identified as “he” in the news story.</w:t>
      </w:r>
    </w:p>
  </w:footnote>
  <w:footnote w:id="8">
    <w:p w14:paraId="1D981D53"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i/>
          <w:sz w:val="24"/>
          <w:szCs w:val="24"/>
        </w:rPr>
        <w:t xml:space="preserve"> McCutcheon vs. Federal Election Commission</w:t>
      </w:r>
      <w:r w:rsidRPr="00CD791D">
        <w:rPr>
          <w:sz w:val="24"/>
          <w:szCs w:val="24"/>
        </w:rPr>
        <w:t xml:space="preserve">, </w:t>
      </w:r>
      <w:r w:rsidRPr="00CD791D">
        <w:rPr>
          <w:rStyle w:val="st"/>
          <w:rFonts w:eastAsia="PMingLiU"/>
          <w:sz w:val="24"/>
          <w:szCs w:val="24"/>
        </w:rPr>
        <w:t xml:space="preserve">572 U.S. ___ (2014), </w:t>
      </w:r>
      <w:r w:rsidRPr="00CD791D">
        <w:rPr>
          <w:sz w:val="24"/>
          <w:szCs w:val="24"/>
        </w:rPr>
        <w:t>overturned aggregate contribution limits, but left in place limits on contributions to individual candidates established under the 2002 Bipartisan Campaign Reform Act.</w:t>
      </w:r>
    </w:p>
  </w:footnote>
  <w:footnote w:id="9">
    <w:p w14:paraId="6FA9C0B5" w14:textId="12A24F51" w:rsidR="00D238BC" w:rsidRPr="00CD791D" w:rsidRDefault="00D238BC" w:rsidP="00577E37">
      <w:pPr>
        <w:pStyle w:val="FootnoteText"/>
        <w:spacing w:line="480" w:lineRule="auto"/>
        <w:rPr>
          <w:sz w:val="24"/>
          <w:szCs w:val="24"/>
        </w:rPr>
      </w:pPr>
      <w:r w:rsidRPr="006D54E7">
        <w:rPr>
          <w:rStyle w:val="FootnoteReference"/>
          <w:sz w:val="24"/>
          <w:szCs w:val="24"/>
        </w:rPr>
        <w:footnoteRef/>
      </w:r>
      <w:r w:rsidRPr="006D54E7">
        <w:rPr>
          <w:sz w:val="24"/>
          <w:szCs w:val="24"/>
        </w:rPr>
        <w:t xml:space="preserve"> </w:t>
      </w:r>
      <w:r w:rsidR="006D54E7" w:rsidRPr="008B6040">
        <w:rPr>
          <w:sz w:val="24"/>
          <w:szCs w:val="24"/>
        </w:rPr>
        <w:t xml:space="preserve">As mentioned </w:t>
      </w:r>
      <w:r w:rsidR="006D54E7">
        <w:rPr>
          <w:sz w:val="24"/>
          <w:szCs w:val="24"/>
        </w:rPr>
        <w:t>earlier</w:t>
      </w:r>
      <w:r w:rsidR="006D54E7" w:rsidRPr="008B6040">
        <w:rPr>
          <w:sz w:val="24"/>
          <w:szCs w:val="24"/>
        </w:rPr>
        <w:t>, because of federal campaign contribution limits, neither an individual nor a political action committee (PAC) can make either a $50K or a $20M contribution to a candidate in a given election cycle. Multiple donors from a particular industry, however, can make donations together to a PAC or they can “bundle” their individual contributions to signal a common (e.g., industry) affiliation</w:t>
      </w:r>
      <w:r w:rsidR="006D54E7">
        <w:rPr>
          <w:sz w:val="24"/>
          <w:szCs w:val="24"/>
        </w:rPr>
        <w:t xml:space="preserve">. </w:t>
      </w:r>
      <w:r w:rsidRPr="000A32A2">
        <w:rPr>
          <w:sz w:val="24"/>
          <w:szCs w:val="24"/>
        </w:rPr>
        <w:t>As with</w:t>
      </w:r>
      <w:r w:rsidRPr="00CD791D">
        <w:rPr>
          <w:sz w:val="24"/>
          <w:szCs w:val="24"/>
        </w:rPr>
        <w:t xml:space="preserve"> any experiment, there is always the question of external validity. </w:t>
      </w:r>
      <w:r>
        <w:rPr>
          <w:sz w:val="24"/>
          <w:szCs w:val="24"/>
        </w:rPr>
        <w:t>O</w:t>
      </w:r>
      <w:r w:rsidRPr="00CD791D">
        <w:rPr>
          <w:sz w:val="24"/>
          <w:szCs w:val="24"/>
        </w:rPr>
        <w:t xml:space="preserve">ur treatment consists of substantial contributions from a narrow range of specific sources, contributions that may strike the informed observer as </w:t>
      </w:r>
      <w:r>
        <w:rPr>
          <w:sz w:val="24"/>
          <w:szCs w:val="24"/>
        </w:rPr>
        <w:t xml:space="preserve">rare. There is, however, </w:t>
      </w:r>
      <w:r w:rsidRPr="00CD791D">
        <w:rPr>
          <w:sz w:val="24"/>
          <w:szCs w:val="24"/>
        </w:rPr>
        <w:t xml:space="preserve">ample evidence—both in the literature and in our own data—that voters know next to nothing about the particulars of campaign </w:t>
      </w:r>
      <w:r>
        <w:rPr>
          <w:sz w:val="24"/>
          <w:szCs w:val="24"/>
        </w:rPr>
        <w:t xml:space="preserve">contributions </w:t>
      </w:r>
      <w:r w:rsidRPr="00CD791D">
        <w:rPr>
          <w:sz w:val="24"/>
          <w:szCs w:val="24"/>
        </w:rPr>
        <w:t xml:space="preserve">and that the news media greatly and systematically exaggerate the magnitude of campaign contributions (see, for example, Ansolabehere, Snowberg, and Snyder 2003). We expand on how generalizable </w:t>
      </w:r>
      <w:r>
        <w:rPr>
          <w:sz w:val="24"/>
          <w:szCs w:val="24"/>
        </w:rPr>
        <w:t xml:space="preserve">our </w:t>
      </w:r>
      <w:r w:rsidRPr="00CD791D">
        <w:rPr>
          <w:sz w:val="24"/>
          <w:szCs w:val="24"/>
        </w:rPr>
        <w:t>study is later on.</w:t>
      </w:r>
    </w:p>
  </w:footnote>
  <w:footnote w:id="10">
    <w:p w14:paraId="5E52CB80"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These </w:t>
      </w:r>
      <w:r>
        <w:rPr>
          <w:sz w:val="24"/>
          <w:szCs w:val="24"/>
        </w:rPr>
        <w:t xml:space="preserve">allow us to </w:t>
      </w:r>
      <w:r w:rsidRPr="00CD791D">
        <w:rPr>
          <w:sz w:val="24"/>
          <w:szCs w:val="24"/>
        </w:rPr>
        <w:t xml:space="preserve">ascertain the impact of receiving contributions from well-regarded versus noxious groups. </w:t>
      </w:r>
      <w:r>
        <w:rPr>
          <w:sz w:val="24"/>
          <w:szCs w:val="24"/>
        </w:rPr>
        <w:t>Of course, c</w:t>
      </w:r>
      <w:r w:rsidRPr="00CD791D">
        <w:rPr>
          <w:sz w:val="24"/>
          <w:szCs w:val="24"/>
        </w:rPr>
        <w:t xml:space="preserve">ontributions from corporations cannot come directly from their treasuries, rather they must come from affiliated political action committees, through which no corporate money can flow. </w:t>
      </w:r>
      <w:r>
        <w:rPr>
          <w:sz w:val="24"/>
          <w:szCs w:val="24"/>
        </w:rPr>
        <w:t xml:space="preserve">Note also that we are not directly measuring perceived corruption. Rather, we gauge whether information about “extreme” campaign contributions affects voters. </w:t>
      </w:r>
    </w:p>
  </w:footnote>
  <w:footnote w:id="11">
    <w:p w14:paraId="2955CF22"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Although we do not directly measure mobilization with a turnout variable, we assume that greater enthusiasm by in-partisans towards their candidate correlates with a higher turnout probability.</w:t>
      </w:r>
    </w:p>
  </w:footnote>
  <w:footnote w:id="12">
    <w:p w14:paraId="5BF818D3" w14:textId="77777777" w:rsidR="00D238BC" w:rsidRPr="00CD791D" w:rsidRDefault="00D238BC" w:rsidP="00D55B26">
      <w:pPr>
        <w:pStyle w:val="FootnoteText"/>
        <w:spacing w:line="480" w:lineRule="auto"/>
        <w:rPr>
          <w:sz w:val="24"/>
          <w:szCs w:val="24"/>
        </w:rPr>
      </w:pPr>
      <w:r w:rsidRPr="00CD791D">
        <w:rPr>
          <w:rStyle w:val="FootnoteCharacters"/>
          <w:rFonts w:eastAsia="PMingLiU"/>
          <w:sz w:val="24"/>
          <w:szCs w:val="24"/>
        </w:rPr>
        <w:footnoteRef/>
      </w:r>
      <w:r w:rsidRPr="00CD791D">
        <w:rPr>
          <w:sz w:val="24"/>
          <w:szCs w:val="24"/>
        </w:rPr>
        <w:t xml:space="preserve"> The </w:t>
      </w:r>
      <w:r>
        <w:rPr>
          <w:sz w:val="24"/>
          <w:szCs w:val="24"/>
        </w:rPr>
        <w:t xml:space="preserve">story was </w:t>
      </w:r>
      <w:r w:rsidRPr="00CD791D">
        <w:rPr>
          <w:sz w:val="24"/>
          <w:szCs w:val="24"/>
        </w:rPr>
        <w:t>based on an actual Associated Press report, “Some Incumbent Senators Seem to Get No Respect” by Kimberly Hefling</w:t>
      </w:r>
      <w:r>
        <w:rPr>
          <w:sz w:val="24"/>
          <w:szCs w:val="24"/>
        </w:rPr>
        <w:t xml:space="preserve">, </w:t>
      </w:r>
      <w:r w:rsidRPr="00CD791D">
        <w:rPr>
          <w:sz w:val="24"/>
          <w:szCs w:val="24"/>
        </w:rPr>
        <w:t>July 26, 2009</w:t>
      </w:r>
      <w:r>
        <w:rPr>
          <w:sz w:val="24"/>
          <w:szCs w:val="24"/>
        </w:rPr>
        <w:t xml:space="preserve"> (last accessed on 7/26/2010 at </w:t>
      </w:r>
      <w:r w:rsidRPr="00CD791D">
        <w:rPr>
          <w:sz w:val="24"/>
          <w:szCs w:val="24"/>
        </w:rPr>
        <w:t>http://www.usatoday.com/news/washington/2009-07-25-senators-primarychallenge_N.htm).</w:t>
      </w:r>
    </w:p>
  </w:footnote>
  <w:footnote w:id="13">
    <w:p w14:paraId="57DD4FCF"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When examining treatment effects by party identification, cell sizes average approximately 35 cases.</w:t>
      </w:r>
    </w:p>
  </w:footnote>
  <w:footnote w:id="14">
    <w:p w14:paraId="604BAD63"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w:t>
      </w:r>
      <w:r>
        <w:rPr>
          <w:sz w:val="24"/>
          <w:szCs w:val="24"/>
        </w:rPr>
        <w:t>These results reflect expressed rather than revealed preferences. Furthermore, it is at least possible that Democrats are relatively willing to state that they would punish their own candidates for taking money from undesirable sources, but these voters may not actually follow through on that threat when casting their actual ballot</w:t>
      </w:r>
      <w:r w:rsidRPr="00CD791D">
        <w:rPr>
          <w:sz w:val="24"/>
          <w:szCs w:val="24"/>
        </w:rPr>
        <w:t>.</w:t>
      </w:r>
    </w:p>
  </w:footnote>
  <w:footnote w:id="15">
    <w:p w14:paraId="52478C1A" w14:textId="77777777" w:rsidR="00D238BC" w:rsidRPr="00CD791D" w:rsidRDefault="00D238BC" w:rsidP="00D55B26">
      <w:pPr>
        <w:pStyle w:val="FootnoteText"/>
        <w:spacing w:line="480" w:lineRule="auto"/>
        <w:rPr>
          <w:sz w:val="24"/>
          <w:szCs w:val="24"/>
        </w:rPr>
      </w:pPr>
      <w:r w:rsidRPr="00CD791D">
        <w:rPr>
          <w:rStyle w:val="FootnoteReference"/>
          <w:sz w:val="24"/>
          <w:szCs w:val="24"/>
        </w:rPr>
        <w:footnoteRef/>
      </w:r>
      <w:r w:rsidRPr="00CD791D">
        <w:rPr>
          <w:sz w:val="24"/>
          <w:szCs w:val="24"/>
        </w:rPr>
        <w:t xml:space="preserve"> The differences in support for green energy versus other funding sources are statistically significant at a </w:t>
      </w:r>
      <w:r w:rsidRPr="00CD791D">
        <w:rPr>
          <w:i/>
          <w:sz w:val="24"/>
          <w:szCs w:val="24"/>
        </w:rPr>
        <w:t>p</w:t>
      </w:r>
      <w:r w:rsidRPr="00CD791D">
        <w:rPr>
          <w:sz w:val="24"/>
          <w:szCs w:val="24"/>
        </w:rPr>
        <w:t>&lt; 0.01 level.</w:t>
      </w:r>
    </w:p>
  </w:footnote>
  <w:footnote w:id="16">
    <w:p w14:paraId="1DD692D2" w14:textId="77777777" w:rsidR="00D238BC" w:rsidRPr="00C24955" w:rsidRDefault="00D238BC" w:rsidP="00D55B26">
      <w:pPr>
        <w:suppressAutoHyphens w:val="0"/>
        <w:autoSpaceDE w:val="0"/>
        <w:autoSpaceDN w:val="0"/>
        <w:adjustRightInd w:val="0"/>
        <w:spacing w:line="480" w:lineRule="auto"/>
        <w:rPr>
          <w:sz w:val="22"/>
          <w:szCs w:val="22"/>
        </w:rPr>
      </w:pPr>
      <w:r w:rsidRPr="00CD791D">
        <w:rPr>
          <w:rStyle w:val="FootnoteReference"/>
        </w:rPr>
        <w:footnoteRef/>
      </w:r>
      <w:r>
        <w:rPr>
          <w:lang w:eastAsia="ko-KR"/>
        </w:rPr>
        <w:t xml:space="preserve"> Specific items used to create these scales are available in the online Appendix.</w:t>
      </w:r>
    </w:p>
  </w:footnote>
  <w:footnote w:id="17">
    <w:p w14:paraId="4BCB3FCE" w14:textId="77777777" w:rsidR="00D238BC" w:rsidRPr="009D4635" w:rsidRDefault="00D238BC" w:rsidP="00D55B26">
      <w:pPr>
        <w:autoSpaceDE w:val="0"/>
        <w:spacing w:line="480" w:lineRule="auto"/>
      </w:pPr>
      <w:r w:rsidRPr="009D4635">
        <w:rPr>
          <w:rStyle w:val="FootnoteReference"/>
        </w:rPr>
        <w:footnoteRef/>
      </w:r>
      <w:r w:rsidRPr="009D4635">
        <w:t xml:space="preserve"> We did not ask a union household item in the 2013 survey, so it is not included in the 2013 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CF4" w14:textId="77777777" w:rsidR="00D238BC" w:rsidRPr="00F131D6" w:rsidRDefault="00D238BC">
    <w:pPr>
      <w:pStyle w:val="Header"/>
      <w:jc w:val="center"/>
      <w:rPr>
        <w:rFonts w:ascii="Calibri" w:hAnsi="Calibri" w:cs="Calibri"/>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0CD5A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107A4B58"/>
    <w:multiLevelType w:val="hybridMultilevel"/>
    <w:tmpl w:val="7FF0A04E"/>
    <w:lvl w:ilvl="0" w:tplc="A56CC29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861E20"/>
    <w:multiLevelType w:val="hybridMultilevel"/>
    <w:tmpl w:val="64429574"/>
    <w:lvl w:ilvl="0" w:tplc="51185550">
      <w:start w:val="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532AE3"/>
    <w:multiLevelType w:val="hybridMultilevel"/>
    <w:tmpl w:val="7F4853EC"/>
    <w:lvl w:ilvl="0" w:tplc="9D14ACA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2128C"/>
    <w:multiLevelType w:val="hybridMultilevel"/>
    <w:tmpl w:val="E1C61D58"/>
    <w:lvl w:ilvl="0" w:tplc="04090001">
      <w:start w:val="1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22985"/>
    <w:multiLevelType w:val="hybridMultilevel"/>
    <w:tmpl w:val="31CE26E4"/>
    <w:lvl w:ilvl="0" w:tplc="CEB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6"/>
    <w:rsid w:val="0002552A"/>
    <w:rsid w:val="00050134"/>
    <w:rsid w:val="000613BE"/>
    <w:rsid w:val="00073741"/>
    <w:rsid w:val="000800D3"/>
    <w:rsid w:val="000801F8"/>
    <w:rsid w:val="0009708C"/>
    <w:rsid w:val="000A32A2"/>
    <w:rsid w:val="000A3F80"/>
    <w:rsid w:val="000F0234"/>
    <w:rsid w:val="000F0605"/>
    <w:rsid w:val="000F3C75"/>
    <w:rsid w:val="000F4553"/>
    <w:rsid w:val="000F650B"/>
    <w:rsid w:val="001259FF"/>
    <w:rsid w:val="00133399"/>
    <w:rsid w:val="00156A7A"/>
    <w:rsid w:val="001614B6"/>
    <w:rsid w:val="00167A67"/>
    <w:rsid w:val="00170A6F"/>
    <w:rsid w:val="00172944"/>
    <w:rsid w:val="00172B9C"/>
    <w:rsid w:val="00173069"/>
    <w:rsid w:val="00186F40"/>
    <w:rsid w:val="001979B5"/>
    <w:rsid w:val="001A0DC2"/>
    <w:rsid w:val="001B64A6"/>
    <w:rsid w:val="00213F53"/>
    <w:rsid w:val="00247A0F"/>
    <w:rsid w:val="002526EA"/>
    <w:rsid w:val="0026248F"/>
    <w:rsid w:val="002665BF"/>
    <w:rsid w:val="00286DFE"/>
    <w:rsid w:val="002D1FED"/>
    <w:rsid w:val="002D344A"/>
    <w:rsid w:val="002E1C85"/>
    <w:rsid w:val="002E51CA"/>
    <w:rsid w:val="002E5813"/>
    <w:rsid w:val="002F50B0"/>
    <w:rsid w:val="002F76D5"/>
    <w:rsid w:val="003102AF"/>
    <w:rsid w:val="003146E9"/>
    <w:rsid w:val="003262D7"/>
    <w:rsid w:val="00372631"/>
    <w:rsid w:val="00383F17"/>
    <w:rsid w:val="00385514"/>
    <w:rsid w:val="00390252"/>
    <w:rsid w:val="003910EF"/>
    <w:rsid w:val="00393458"/>
    <w:rsid w:val="00394BD8"/>
    <w:rsid w:val="00396D6C"/>
    <w:rsid w:val="003A40F7"/>
    <w:rsid w:val="003E3AA6"/>
    <w:rsid w:val="003F10E2"/>
    <w:rsid w:val="00411473"/>
    <w:rsid w:val="00423F93"/>
    <w:rsid w:val="00434226"/>
    <w:rsid w:val="00435904"/>
    <w:rsid w:val="004504A1"/>
    <w:rsid w:val="00471F4E"/>
    <w:rsid w:val="00481E68"/>
    <w:rsid w:val="00494CDB"/>
    <w:rsid w:val="004A66B2"/>
    <w:rsid w:val="004B1B85"/>
    <w:rsid w:val="004C219D"/>
    <w:rsid w:val="004D57D8"/>
    <w:rsid w:val="004F5934"/>
    <w:rsid w:val="00514690"/>
    <w:rsid w:val="00517362"/>
    <w:rsid w:val="00541615"/>
    <w:rsid w:val="005608FE"/>
    <w:rsid w:val="00577E37"/>
    <w:rsid w:val="00586850"/>
    <w:rsid w:val="0058749F"/>
    <w:rsid w:val="005A71BB"/>
    <w:rsid w:val="005B31A0"/>
    <w:rsid w:val="005C7E33"/>
    <w:rsid w:val="005D0827"/>
    <w:rsid w:val="005D2661"/>
    <w:rsid w:val="005E5880"/>
    <w:rsid w:val="00616569"/>
    <w:rsid w:val="00636346"/>
    <w:rsid w:val="00670B48"/>
    <w:rsid w:val="00681503"/>
    <w:rsid w:val="006929B6"/>
    <w:rsid w:val="006A45AB"/>
    <w:rsid w:val="006D54E7"/>
    <w:rsid w:val="006F3A82"/>
    <w:rsid w:val="00700704"/>
    <w:rsid w:val="0070071C"/>
    <w:rsid w:val="00744B27"/>
    <w:rsid w:val="00757B4B"/>
    <w:rsid w:val="00773CA2"/>
    <w:rsid w:val="007742C7"/>
    <w:rsid w:val="007777D4"/>
    <w:rsid w:val="00790BBF"/>
    <w:rsid w:val="007A065A"/>
    <w:rsid w:val="007A7C89"/>
    <w:rsid w:val="007B5377"/>
    <w:rsid w:val="007B618D"/>
    <w:rsid w:val="007C47E4"/>
    <w:rsid w:val="007F0152"/>
    <w:rsid w:val="00805B39"/>
    <w:rsid w:val="00815EA2"/>
    <w:rsid w:val="00837266"/>
    <w:rsid w:val="00846129"/>
    <w:rsid w:val="008667DE"/>
    <w:rsid w:val="008925FE"/>
    <w:rsid w:val="008A7DF1"/>
    <w:rsid w:val="008B0DDF"/>
    <w:rsid w:val="008B136C"/>
    <w:rsid w:val="008B6040"/>
    <w:rsid w:val="008B7AFB"/>
    <w:rsid w:val="008E5957"/>
    <w:rsid w:val="008E7752"/>
    <w:rsid w:val="008F7540"/>
    <w:rsid w:val="00900068"/>
    <w:rsid w:val="009026AA"/>
    <w:rsid w:val="00905DB9"/>
    <w:rsid w:val="00911F1E"/>
    <w:rsid w:val="00925B6F"/>
    <w:rsid w:val="00931548"/>
    <w:rsid w:val="009327E8"/>
    <w:rsid w:val="0094485D"/>
    <w:rsid w:val="0095622D"/>
    <w:rsid w:val="009651CD"/>
    <w:rsid w:val="00965A57"/>
    <w:rsid w:val="00967F42"/>
    <w:rsid w:val="0097127D"/>
    <w:rsid w:val="00972360"/>
    <w:rsid w:val="009A2320"/>
    <w:rsid w:val="009A39A8"/>
    <w:rsid w:val="009C377C"/>
    <w:rsid w:val="009C74D8"/>
    <w:rsid w:val="009D4635"/>
    <w:rsid w:val="009F2D4A"/>
    <w:rsid w:val="00A12D35"/>
    <w:rsid w:val="00A33B5A"/>
    <w:rsid w:val="00A34587"/>
    <w:rsid w:val="00A36656"/>
    <w:rsid w:val="00A36B4A"/>
    <w:rsid w:val="00A556E4"/>
    <w:rsid w:val="00A60352"/>
    <w:rsid w:val="00A6261A"/>
    <w:rsid w:val="00A83708"/>
    <w:rsid w:val="00AD1033"/>
    <w:rsid w:val="00AE00CE"/>
    <w:rsid w:val="00AE20A5"/>
    <w:rsid w:val="00AF606A"/>
    <w:rsid w:val="00B00CD8"/>
    <w:rsid w:val="00B1054F"/>
    <w:rsid w:val="00B4297F"/>
    <w:rsid w:val="00B57A7A"/>
    <w:rsid w:val="00B62C54"/>
    <w:rsid w:val="00B67A1D"/>
    <w:rsid w:val="00B71BEC"/>
    <w:rsid w:val="00B75DC4"/>
    <w:rsid w:val="00B83C1E"/>
    <w:rsid w:val="00BA6139"/>
    <w:rsid w:val="00BB43F9"/>
    <w:rsid w:val="00BB4E8C"/>
    <w:rsid w:val="00BB59F0"/>
    <w:rsid w:val="00BD0CA5"/>
    <w:rsid w:val="00BE2A33"/>
    <w:rsid w:val="00BF3059"/>
    <w:rsid w:val="00C24955"/>
    <w:rsid w:val="00C27318"/>
    <w:rsid w:val="00C44866"/>
    <w:rsid w:val="00C45DA1"/>
    <w:rsid w:val="00C46BB0"/>
    <w:rsid w:val="00C5403E"/>
    <w:rsid w:val="00C67119"/>
    <w:rsid w:val="00C93DBB"/>
    <w:rsid w:val="00CA396C"/>
    <w:rsid w:val="00CD1F68"/>
    <w:rsid w:val="00CD791D"/>
    <w:rsid w:val="00D14BC5"/>
    <w:rsid w:val="00D238BC"/>
    <w:rsid w:val="00D37E6F"/>
    <w:rsid w:val="00D47103"/>
    <w:rsid w:val="00D506B0"/>
    <w:rsid w:val="00D55B26"/>
    <w:rsid w:val="00D610B2"/>
    <w:rsid w:val="00D70C56"/>
    <w:rsid w:val="00D9437F"/>
    <w:rsid w:val="00D96749"/>
    <w:rsid w:val="00DA5CAB"/>
    <w:rsid w:val="00DC2A22"/>
    <w:rsid w:val="00DD481D"/>
    <w:rsid w:val="00E054E6"/>
    <w:rsid w:val="00E13F67"/>
    <w:rsid w:val="00E32EAE"/>
    <w:rsid w:val="00E42B0F"/>
    <w:rsid w:val="00E45ECC"/>
    <w:rsid w:val="00E57732"/>
    <w:rsid w:val="00E969B3"/>
    <w:rsid w:val="00EA6ABE"/>
    <w:rsid w:val="00EF73BE"/>
    <w:rsid w:val="00F0191F"/>
    <w:rsid w:val="00F32898"/>
    <w:rsid w:val="00F37008"/>
    <w:rsid w:val="00F72B55"/>
    <w:rsid w:val="00FA10F1"/>
    <w:rsid w:val="00FA6A67"/>
    <w:rsid w:val="00FC1358"/>
    <w:rsid w:val="00FD1963"/>
    <w:rsid w:val="00FE526D"/>
    <w:rsid w:val="00FF60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6399"/>
  <w15:docId w15:val="{756A39E9-8643-420B-A306-B0C052AE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26"/>
    <w:pPr>
      <w:widowControl w:val="0"/>
      <w:suppressAutoHyphens/>
    </w:pPr>
    <w:rPr>
      <w:rFonts w:ascii="Times New Roman" w:hAnsi="Times New Roman" w:cs="Times New Roman"/>
      <w:kern w:val="1"/>
      <w:sz w:val="24"/>
      <w:szCs w:val="24"/>
      <w:lang w:eastAsia="ar-SA"/>
    </w:rPr>
  </w:style>
  <w:style w:type="paragraph" w:styleId="Heading1">
    <w:name w:val="heading 1"/>
    <w:basedOn w:val="Normal"/>
    <w:next w:val="BodyText"/>
    <w:link w:val="Heading1Char"/>
    <w:uiPriority w:val="99"/>
    <w:qFormat/>
    <w:rsid w:val="00D55B26"/>
    <w:pPr>
      <w:widowControl/>
      <w:tabs>
        <w:tab w:val="num" w:pos="432"/>
      </w:tabs>
      <w:suppressAutoHyphens w:val="0"/>
      <w:spacing w:before="100" w:after="100"/>
      <w:ind w:left="432" w:hanging="432"/>
      <w:outlineLvl w:val="0"/>
    </w:pPr>
    <w:rPr>
      <w:rFonts w:eastAsia="PMingLiU"/>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B26"/>
    <w:rPr>
      <w:rFonts w:ascii="Times New Roman" w:eastAsia="PMingLiU" w:hAnsi="Times New Roman" w:cs="Times New Roman"/>
      <w:b/>
      <w:bCs/>
      <w:kern w:val="1"/>
      <w:sz w:val="48"/>
      <w:szCs w:val="48"/>
      <w:lang w:eastAsia="ar-SA"/>
    </w:rPr>
  </w:style>
  <w:style w:type="character" w:customStyle="1" w:styleId="WW8Num2z0">
    <w:name w:val="WW8Num2z0"/>
    <w:uiPriority w:val="99"/>
    <w:rsid w:val="00D55B26"/>
    <w:rPr>
      <w:rFonts w:ascii="Symbol" w:hAnsi="Symbol"/>
    </w:rPr>
  </w:style>
  <w:style w:type="character" w:customStyle="1" w:styleId="WW8Num2z1">
    <w:name w:val="WW8Num2z1"/>
    <w:uiPriority w:val="99"/>
    <w:rsid w:val="00D55B26"/>
    <w:rPr>
      <w:rFonts w:ascii="Courier New" w:hAnsi="Courier New"/>
    </w:rPr>
  </w:style>
  <w:style w:type="character" w:customStyle="1" w:styleId="WW8Num2z2">
    <w:name w:val="WW8Num2z2"/>
    <w:uiPriority w:val="99"/>
    <w:rsid w:val="00D55B26"/>
    <w:rPr>
      <w:rFonts w:ascii="Wingdings" w:hAnsi="Wingdings"/>
    </w:rPr>
  </w:style>
  <w:style w:type="character" w:customStyle="1" w:styleId="2">
    <w:name w:val="預設段落字型2"/>
    <w:uiPriority w:val="99"/>
    <w:rsid w:val="00D55B26"/>
  </w:style>
  <w:style w:type="character" w:customStyle="1" w:styleId="1">
    <w:name w:val="기본 단락 글꼴1"/>
    <w:uiPriority w:val="99"/>
    <w:rsid w:val="00D55B26"/>
  </w:style>
  <w:style w:type="character" w:customStyle="1" w:styleId="10">
    <w:name w:val="預設段落字型1"/>
    <w:uiPriority w:val="99"/>
    <w:rsid w:val="00D55B26"/>
  </w:style>
  <w:style w:type="character" w:styleId="Hyperlink">
    <w:name w:val="Hyperlink"/>
    <w:basedOn w:val="DefaultParagraphFont"/>
    <w:uiPriority w:val="99"/>
    <w:rsid w:val="00D55B26"/>
    <w:rPr>
      <w:rFonts w:cs="Times New Roman"/>
      <w:color w:val="0000FF"/>
      <w:u w:val="single"/>
    </w:rPr>
  </w:style>
  <w:style w:type="character" w:customStyle="1" w:styleId="FootnoteCharacters">
    <w:name w:val="Footnote Characters"/>
    <w:uiPriority w:val="99"/>
    <w:rsid w:val="00D55B26"/>
    <w:rPr>
      <w:vertAlign w:val="superscript"/>
    </w:rPr>
  </w:style>
  <w:style w:type="character" w:customStyle="1" w:styleId="field-content">
    <w:name w:val="field-content"/>
    <w:uiPriority w:val="99"/>
    <w:rsid w:val="00D55B26"/>
  </w:style>
  <w:style w:type="character" w:customStyle="1" w:styleId="articletext">
    <w:name w:val="articletext"/>
    <w:uiPriority w:val="99"/>
    <w:rsid w:val="00D55B26"/>
  </w:style>
  <w:style w:type="character" w:customStyle="1" w:styleId="11">
    <w:name w:val="각주 참조1"/>
    <w:uiPriority w:val="99"/>
    <w:rsid w:val="00D55B26"/>
    <w:rPr>
      <w:vertAlign w:val="superscript"/>
    </w:rPr>
  </w:style>
  <w:style w:type="character" w:customStyle="1" w:styleId="EndnoteCharacters">
    <w:name w:val="Endnote Characters"/>
    <w:uiPriority w:val="99"/>
    <w:rsid w:val="00D55B26"/>
    <w:rPr>
      <w:vertAlign w:val="superscript"/>
    </w:rPr>
  </w:style>
  <w:style w:type="character" w:customStyle="1" w:styleId="WW-EndnoteCharacters">
    <w:name w:val="WW-Endnote Characters"/>
    <w:uiPriority w:val="99"/>
    <w:rsid w:val="00D55B26"/>
  </w:style>
  <w:style w:type="character" w:customStyle="1" w:styleId="email">
    <w:name w:val="email"/>
    <w:uiPriority w:val="99"/>
    <w:rsid w:val="00D55B26"/>
  </w:style>
  <w:style w:type="character" w:customStyle="1" w:styleId="12">
    <w:name w:val="메모 참조1"/>
    <w:uiPriority w:val="99"/>
    <w:rsid w:val="00D55B26"/>
    <w:rPr>
      <w:sz w:val="16"/>
    </w:rPr>
  </w:style>
  <w:style w:type="character" w:customStyle="1" w:styleId="Char">
    <w:name w:val="메모 텍스트 Char"/>
    <w:uiPriority w:val="99"/>
    <w:rsid w:val="00D55B26"/>
    <w:rPr>
      <w:rFonts w:eastAsia="Times New Roman"/>
      <w:kern w:val="1"/>
    </w:rPr>
  </w:style>
  <w:style w:type="character" w:customStyle="1" w:styleId="Char0">
    <w:name w:val="메모 주제 Char"/>
    <w:uiPriority w:val="99"/>
    <w:rsid w:val="00D55B26"/>
    <w:rPr>
      <w:rFonts w:eastAsia="Times New Roman"/>
      <w:b/>
      <w:kern w:val="1"/>
    </w:rPr>
  </w:style>
  <w:style w:type="character" w:customStyle="1" w:styleId="Char1">
    <w:name w:val="풍선 도움말 텍스트 Char"/>
    <w:uiPriority w:val="99"/>
    <w:rsid w:val="00D55B26"/>
    <w:rPr>
      <w:rFonts w:ascii="Gulim" w:eastAsia="Gulim" w:hAnsi="Gulim"/>
      <w:kern w:val="1"/>
      <w:sz w:val="16"/>
    </w:rPr>
  </w:style>
  <w:style w:type="character" w:customStyle="1" w:styleId="13">
    <w:name w:val="註腳參照1"/>
    <w:uiPriority w:val="99"/>
    <w:rsid w:val="00D55B26"/>
    <w:rPr>
      <w:vertAlign w:val="superscript"/>
    </w:rPr>
  </w:style>
  <w:style w:type="character" w:customStyle="1" w:styleId="14">
    <w:name w:val="章節附註參照1"/>
    <w:uiPriority w:val="99"/>
    <w:rsid w:val="00D55B26"/>
    <w:rPr>
      <w:vertAlign w:val="superscript"/>
    </w:rPr>
  </w:style>
  <w:style w:type="character" w:styleId="HTMLCite">
    <w:name w:val="HTML Cite"/>
    <w:basedOn w:val="DefaultParagraphFont"/>
    <w:uiPriority w:val="99"/>
    <w:rsid w:val="00D55B26"/>
    <w:rPr>
      <w:rFonts w:cs="Times New Roman"/>
      <w:i/>
    </w:rPr>
  </w:style>
  <w:style w:type="character" w:styleId="FootnoteReference">
    <w:name w:val="footnote reference"/>
    <w:basedOn w:val="DefaultParagraphFont"/>
    <w:uiPriority w:val="99"/>
    <w:rsid w:val="00D55B26"/>
    <w:rPr>
      <w:rFonts w:cs="Times New Roman"/>
      <w:vertAlign w:val="superscript"/>
    </w:rPr>
  </w:style>
  <w:style w:type="character" w:styleId="EndnoteReference">
    <w:name w:val="endnote reference"/>
    <w:basedOn w:val="DefaultParagraphFont"/>
    <w:uiPriority w:val="99"/>
    <w:rsid w:val="00D55B26"/>
    <w:rPr>
      <w:rFonts w:cs="Times New Roman"/>
      <w:vertAlign w:val="superscript"/>
    </w:rPr>
  </w:style>
  <w:style w:type="character" w:styleId="FollowedHyperlink">
    <w:name w:val="FollowedHyperlink"/>
    <w:basedOn w:val="DefaultParagraphFont"/>
    <w:uiPriority w:val="99"/>
    <w:rsid w:val="00D55B26"/>
    <w:rPr>
      <w:rFonts w:cs="Times New Roman"/>
      <w:color w:val="800000"/>
      <w:u w:val="single"/>
    </w:rPr>
  </w:style>
  <w:style w:type="paragraph" w:customStyle="1" w:styleId="Heading">
    <w:name w:val="Heading"/>
    <w:basedOn w:val="Normal"/>
    <w:next w:val="BodyText"/>
    <w:uiPriority w:val="99"/>
    <w:rsid w:val="00D55B26"/>
    <w:pPr>
      <w:keepNext/>
      <w:spacing w:before="240" w:after="120"/>
    </w:pPr>
    <w:rPr>
      <w:rFonts w:ascii="Arial" w:hAnsi="Arial" w:cs="Tahoma"/>
      <w:sz w:val="28"/>
      <w:szCs w:val="28"/>
    </w:rPr>
  </w:style>
  <w:style w:type="paragraph" w:styleId="BodyText">
    <w:name w:val="Body Text"/>
    <w:basedOn w:val="Normal"/>
    <w:link w:val="BodyTextChar"/>
    <w:uiPriority w:val="99"/>
    <w:rsid w:val="00D55B26"/>
    <w:pPr>
      <w:spacing w:after="120"/>
    </w:pPr>
  </w:style>
  <w:style w:type="character" w:customStyle="1" w:styleId="BodyTextChar">
    <w:name w:val="Body Text Char"/>
    <w:basedOn w:val="DefaultParagraphFont"/>
    <w:link w:val="BodyText"/>
    <w:uiPriority w:val="99"/>
    <w:rsid w:val="00D55B26"/>
    <w:rPr>
      <w:rFonts w:ascii="Times New Roman" w:hAnsi="Times New Roman" w:cs="Times New Roman"/>
      <w:kern w:val="1"/>
      <w:sz w:val="24"/>
      <w:szCs w:val="24"/>
      <w:lang w:eastAsia="ar-SA"/>
    </w:rPr>
  </w:style>
  <w:style w:type="paragraph" w:styleId="List">
    <w:name w:val="List"/>
    <w:basedOn w:val="BodyText"/>
    <w:uiPriority w:val="99"/>
    <w:rsid w:val="00D55B26"/>
    <w:rPr>
      <w:rFonts w:cs="Tahoma"/>
    </w:rPr>
  </w:style>
  <w:style w:type="paragraph" w:styleId="Caption">
    <w:name w:val="caption"/>
    <w:basedOn w:val="Normal"/>
    <w:uiPriority w:val="99"/>
    <w:qFormat/>
    <w:rsid w:val="00D55B26"/>
    <w:pPr>
      <w:suppressLineNumbers/>
      <w:spacing w:before="120" w:after="120"/>
    </w:pPr>
    <w:rPr>
      <w:rFonts w:cs="Tahoma"/>
      <w:i/>
      <w:iCs/>
    </w:rPr>
  </w:style>
  <w:style w:type="paragraph" w:customStyle="1" w:styleId="Index">
    <w:name w:val="Index"/>
    <w:basedOn w:val="Normal"/>
    <w:uiPriority w:val="99"/>
    <w:rsid w:val="00D55B26"/>
    <w:pPr>
      <w:suppressLineNumbers/>
    </w:pPr>
    <w:rPr>
      <w:rFonts w:cs="Tahoma"/>
    </w:rPr>
  </w:style>
  <w:style w:type="paragraph" w:customStyle="1" w:styleId="15">
    <w:name w:val="標號1"/>
    <w:basedOn w:val="Normal"/>
    <w:uiPriority w:val="99"/>
    <w:rsid w:val="00D55B26"/>
    <w:pPr>
      <w:suppressLineNumbers/>
      <w:spacing w:before="120" w:after="120"/>
    </w:pPr>
    <w:rPr>
      <w:rFonts w:cs="Tahoma"/>
      <w:i/>
      <w:iCs/>
    </w:rPr>
  </w:style>
  <w:style w:type="paragraph" w:styleId="Footer">
    <w:name w:val="footer"/>
    <w:basedOn w:val="Normal"/>
    <w:link w:val="FooterChar"/>
    <w:uiPriority w:val="99"/>
    <w:rsid w:val="00D55B26"/>
    <w:pPr>
      <w:suppressLineNumbers/>
      <w:tabs>
        <w:tab w:val="center" w:pos="4986"/>
        <w:tab w:val="right" w:pos="9972"/>
      </w:tabs>
    </w:pPr>
  </w:style>
  <w:style w:type="character" w:customStyle="1" w:styleId="FooterChar">
    <w:name w:val="Footer Char"/>
    <w:basedOn w:val="DefaultParagraphFont"/>
    <w:link w:val="Footer"/>
    <w:uiPriority w:val="99"/>
    <w:rsid w:val="00D55B26"/>
    <w:rPr>
      <w:rFonts w:ascii="Times New Roman" w:hAnsi="Times New Roman" w:cs="Times New Roman"/>
      <w:kern w:val="1"/>
      <w:sz w:val="24"/>
      <w:szCs w:val="24"/>
      <w:lang w:eastAsia="ar-SA"/>
    </w:rPr>
  </w:style>
  <w:style w:type="paragraph" w:styleId="Header">
    <w:name w:val="header"/>
    <w:basedOn w:val="Normal"/>
    <w:link w:val="HeaderChar"/>
    <w:uiPriority w:val="99"/>
    <w:rsid w:val="00D55B26"/>
    <w:pPr>
      <w:suppressLineNumbers/>
      <w:tabs>
        <w:tab w:val="center" w:pos="4986"/>
        <w:tab w:val="right" w:pos="9972"/>
      </w:tabs>
    </w:pPr>
  </w:style>
  <w:style w:type="character" w:customStyle="1" w:styleId="HeaderChar">
    <w:name w:val="Header Char"/>
    <w:basedOn w:val="DefaultParagraphFont"/>
    <w:link w:val="Header"/>
    <w:uiPriority w:val="99"/>
    <w:rsid w:val="00D55B26"/>
    <w:rPr>
      <w:rFonts w:ascii="Times New Roman" w:hAnsi="Times New Roman" w:cs="Times New Roman"/>
      <w:kern w:val="1"/>
      <w:sz w:val="24"/>
      <w:szCs w:val="24"/>
      <w:lang w:eastAsia="ar-SA"/>
    </w:rPr>
  </w:style>
  <w:style w:type="paragraph" w:styleId="FootnoteText">
    <w:name w:val="footnote text"/>
    <w:basedOn w:val="Normal"/>
    <w:link w:val="FootnoteTextChar"/>
    <w:uiPriority w:val="99"/>
    <w:rsid w:val="00D55B26"/>
    <w:rPr>
      <w:sz w:val="20"/>
      <w:szCs w:val="20"/>
    </w:rPr>
  </w:style>
  <w:style w:type="character" w:customStyle="1" w:styleId="FootnoteTextChar">
    <w:name w:val="Footnote Text Char"/>
    <w:basedOn w:val="DefaultParagraphFont"/>
    <w:link w:val="FootnoteText"/>
    <w:uiPriority w:val="99"/>
    <w:rsid w:val="00D55B26"/>
    <w:rPr>
      <w:rFonts w:ascii="Times New Roman" w:hAnsi="Times New Roman" w:cs="Times New Roman"/>
      <w:kern w:val="1"/>
      <w:szCs w:val="20"/>
      <w:lang w:eastAsia="ar-SA"/>
    </w:rPr>
  </w:style>
  <w:style w:type="paragraph" w:customStyle="1" w:styleId="16">
    <w:name w:val="일반 (웹)1"/>
    <w:basedOn w:val="Normal"/>
    <w:uiPriority w:val="99"/>
    <w:rsid w:val="00D55B26"/>
    <w:pPr>
      <w:widowControl/>
      <w:suppressAutoHyphens w:val="0"/>
      <w:spacing w:before="100" w:after="100"/>
    </w:pPr>
    <w:rPr>
      <w:rFonts w:eastAsia="PMingLiU"/>
    </w:rPr>
  </w:style>
  <w:style w:type="paragraph" w:customStyle="1" w:styleId="17">
    <w:name w:val="메모 텍스트1"/>
    <w:basedOn w:val="Normal"/>
    <w:uiPriority w:val="99"/>
    <w:rsid w:val="00D55B26"/>
    <w:rPr>
      <w:sz w:val="20"/>
      <w:szCs w:val="20"/>
    </w:rPr>
  </w:style>
  <w:style w:type="paragraph" w:customStyle="1" w:styleId="18">
    <w:name w:val="메모 주제1"/>
    <w:basedOn w:val="17"/>
    <w:next w:val="17"/>
    <w:uiPriority w:val="99"/>
    <w:rsid w:val="00D55B26"/>
    <w:rPr>
      <w:b/>
      <w:bCs/>
    </w:rPr>
  </w:style>
  <w:style w:type="paragraph" w:customStyle="1" w:styleId="19">
    <w:name w:val="풍선 도움말 텍스트1"/>
    <w:basedOn w:val="Normal"/>
    <w:uiPriority w:val="99"/>
    <w:rsid w:val="00D55B26"/>
    <w:rPr>
      <w:rFonts w:ascii="Gulim" w:eastAsia="Gulim" w:hAnsi="Gulim"/>
      <w:sz w:val="16"/>
      <w:szCs w:val="16"/>
    </w:rPr>
  </w:style>
  <w:style w:type="paragraph" w:customStyle="1" w:styleId="1a">
    <w:name w:val="註解方塊文字1"/>
    <w:basedOn w:val="Normal"/>
    <w:uiPriority w:val="99"/>
    <w:rsid w:val="00D55B26"/>
    <w:rPr>
      <w:rFonts w:ascii="PMingLiU" w:eastAsia="PMingLiU" w:hAnsi="PMingLiU"/>
      <w:sz w:val="18"/>
      <w:szCs w:val="18"/>
    </w:rPr>
  </w:style>
  <w:style w:type="paragraph" w:styleId="BalloonText">
    <w:name w:val="Balloon Text"/>
    <w:basedOn w:val="Normal"/>
    <w:link w:val="BalloonTextChar"/>
    <w:uiPriority w:val="99"/>
    <w:semiHidden/>
    <w:rsid w:val="00D55B26"/>
    <w:rPr>
      <w:rFonts w:ascii="Tahoma" w:hAnsi="Tahoma" w:cs="Tahoma"/>
      <w:sz w:val="16"/>
      <w:szCs w:val="16"/>
    </w:rPr>
  </w:style>
  <w:style w:type="character" w:customStyle="1" w:styleId="BalloonTextChar">
    <w:name w:val="Balloon Text Char"/>
    <w:basedOn w:val="DefaultParagraphFont"/>
    <w:link w:val="BalloonText"/>
    <w:uiPriority w:val="99"/>
    <w:semiHidden/>
    <w:rsid w:val="00D55B26"/>
    <w:rPr>
      <w:rFonts w:ascii="Tahoma" w:hAnsi="Tahoma" w:cs="Tahoma"/>
      <w:kern w:val="1"/>
      <w:sz w:val="16"/>
      <w:szCs w:val="16"/>
      <w:lang w:eastAsia="ar-SA"/>
    </w:rPr>
  </w:style>
  <w:style w:type="paragraph" w:customStyle="1" w:styleId="Sinespaciado">
    <w:name w:val="Sin espaciado"/>
    <w:uiPriority w:val="99"/>
    <w:rsid w:val="00D55B26"/>
    <w:pPr>
      <w:suppressAutoHyphens/>
    </w:pPr>
    <w:rPr>
      <w:rFonts w:ascii="Times New Roman" w:hAnsi="Times New Roman" w:cs="Times New Roman"/>
      <w:kern w:val="0"/>
      <w:sz w:val="24"/>
      <w:lang w:eastAsia="ar-SA"/>
    </w:rPr>
  </w:style>
  <w:style w:type="table" w:styleId="TableSimple1">
    <w:name w:val="Table Simple 1"/>
    <w:basedOn w:val="TableNormal"/>
    <w:uiPriority w:val="99"/>
    <w:rsid w:val="00D55B26"/>
    <w:pPr>
      <w:widowControl w:val="0"/>
      <w:suppressAutoHyphens/>
    </w:pPr>
    <w:rPr>
      <w:rFonts w:ascii="Times New Roman" w:hAnsi="Times New Roman" w:cs="Times New Roman"/>
      <w:kern w:val="0"/>
      <w:szCs w:val="20"/>
      <w:lang w:eastAsia="zh-TW"/>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99"/>
    <w:rsid w:val="00D55B26"/>
    <w:pPr>
      <w:widowControl w:val="0"/>
      <w:suppressAutoHyphens/>
    </w:pPr>
    <w:rPr>
      <w:rFonts w:ascii="Times New Roman"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55B26"/>
    <w:rPr>
      <w:rFonts w:cs="Times New Roman"/>
      <w:sz w:val="16"/>
    </w:rPr>
  </w:style>
  <w:style w:type="paragraph" w:styleId="CommentText">
    <w:name w:val="annotation text"/>
    <w:basedOn w:val="Normal"/>
    <w:link w:val="CommentTextChar"/>
    <w:uiPriority w:val="99"/>
    <w:semiHidden/>
    <w:rsid w:val="00D55B26"/>
    <w:rPr>
      <w:sz w:val="20"/>
      <w:szCs w:val="20"/>
    </w:rPr>
  </w:style>
  <w:style w:type="character" w:customStyle="1" w:styleId="CommentTextChar">
    <w:name w:val="Comment Text Char"/>
    <w:basedOn w:val="DefaultParagraphFont"/>
    <w:link w:val="CommentText"/>
    <w:uiPriority w:val="99"/>
    <w:semiHidden/>
    <w:rsid w:val="00D55B26"/>
    <w:rPr>
      <w:rFonts w:ascii="Times New Roman" w:hAnsi="Times New Roman" w:cs="Times New Roman"/>
      <w:kern w:val="1"/>
      <w:szCs w:val="20"/>
      <w:lang w:eastAsia="ar-SA"/>
    </w:rPr>
  </w:style>
  <w:style w:type="paragraph" w:styleId="CommentSubject">
    <w:name w:val="annotation subject"/>
    <w:basedOn w:val="CommentText"/>
    <w:next w:val="CommentText"/>
    <w:link w:val="CommentSubjectChar"/>
    <w:uiPriority w:val="99"/>
    <w:semiHidden/>
    <w:rsid w:val="00D55B26"/>
    <w:rPr>
      <w:b/>
      <w:bCs/>
    </w:rPr>
  </w:style>
  <w:style w:type="character" w:customStyle="1" w:styleId="CommentSubjectChar">
    <w:name w:val="Comment Subject Char"/>
    <w:basedOn w:val="CommentTextChar"/>
    <w:link w:val="CommentSubject"/>
    <w:uiPriority w:val="99"/>
    <w:semiHidden/>
    <w:rsid w:val="00D55B26"/>
    <w:rPr>
      <w:rFonts w:ascii="Times New Roman" w:hAnsi="Times New Roman" w:cs="Times New Roman"/>
      <w:b/>
      <w:bCs/>
      <w:kern w:val="1"/>
      <w:szCs w:val="20"/>
      <w:lang w:eastAsia="ar-SA"/>
    </w:rPr>
  </w:style>
  <w:style w:type="character" w:styleId="Emphasis">
    <w:name w:val="Emphasis"/>
    <w:basedOn w:val="DefaultParagraphFont"/>
    <w:uiPriority w:val="99"/>
    <w:qFormat/>
    <w:rsid w:val="00D55B26"/>
    <w:rPr>
      <w:rFonts w:cs="Times New Roman"/>
      <w:i/>
    </w:rPr>
  </w:style>
  <w:style w:type="character" w:styleId="Strong">
    <w:name w:val="Strong"/>
    <w:basedOn w:val="DefaultParagraphFont"/>
    <w:uiPriority w:val="99"/>
    <w:qFormat/>
    <w:rsid w:val="00D55B26"/>
    <w:rPr>
      <w:rFonts w:cs="Times New Roman"/>
      <w:b/>
    </w:rPr>
  </w:style>
  <w:style w:type="paragraph" w:styleId="ListParagraph">
    <w:name w:val="List Paragraph"/>
    <w:basedOn w:val="Normal"/>
    <w:uiPriority w:val="99"/>
    <w:qFormat/>
    <w:rsid w:val="00D55B26"/>
    <w:pPr>
      <w:ind w:left="720"/>
      <w:contextualSpacing/>
    </w:pPr>
  </w:style>
  <w:style w:type="character" w:customStyle="1" w:styleId="20">
    <w:name w:val="각주 참조2"/>
    <w:uiPriority w:val="99"/>
    <w:rsid w:val="00D55B26"/>
    <w:rPr>
      <w:vertAlign w:val="superscript"/>
    </w:rPr>
  </w:style>
  <w:style w:type="character" w:customStyle="1" w:styleId="st">
    <w:name w:val="st"/>
    <w:rsid w:val="00D55B26"/>
  </w:style>
  <w:style w:type="paragraph" w:styleId="Revision">
    <w:name w:val="Revision"/>
    <w:hidden/>
    <w:uiPriority w:val="99"/>
    <w:semiHidden/>
    <w:rsid w:val="00D55B26"/>
    <w:rPr>
      <w:rFonts w:ascii="Times New Roman" w:hAnsi="Times New Roman" w:cs="Times New Roman"/>
      <w:kern w:val="1"/>
      <w:sz w:val="24"/>
      <w:szCs w:val="24"/>
      <w:lang w:eastAsia="ar-SA"/>
    </w:rPr>
  </w:style>
  <w:style w:type="paragraph" w:styleId="DocumentMap">
    <w:name w:val="Document Map"/>
    <w:basedOn w:val="Normal"/>
    <w:link w:val="DocumentMapChar"/>
    <w:uiPriority w:val="99"/>
    <w:semiHidden/>
    <w:unhideWhenUsed/>
    <w:rsid w:val="00D55B26"/>
    <w:rPr>
      <w:rFonts w:ascii="Lucida Grande" w:hAnsi="Lucida Grande" w:cs="Lucida Grande"/>
    </w:rPr>
  </w:style>
  <w:style w:type="character" w:customStyle="1" w:styleId="DocumentMapChar">
    <w:name w:val="Document Map Char"/>
    <w:basedOn w:val="DefaultParagraphFont"/>
    <w:link w:val="DocumentMap"/>
    <w:uiPriority w:val="99"/>
    <w:semiHidden/>
    <w:rsid w:val="00D55B26"/>
    <w:rPr>
      <w:rFonts w:ascii="Lucida Grande" w:hAnsi="Lucida Grande" w:cs="Lucida Grande"/>
      <w:kern w:val="1"/>
      <w:sz w:val="24"/>
      <w:szCs w:val="24"/>
      <w:lang w:eastAsia="ar-SA"/>
    </w:rPr>
  </w:style>
  <w:style w:type="character" w:customStyle="1" w:styleId="citation">
    <w:name w:val="citation"/>
    <w:basedOn w:val="DefaultParagraphFont"/>
    <w:rsid w:val="00D5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09257">
      <w:bodyDiv w:val="1"/>
      <w:marLeft w:val="0"/>
      <w:marRight w:val="0"/>
      <w:marTop w:val="0"/>
      <w:marBottom w:val="0"/>
      <w:divBdr>
        <w:top w:val="none" w:sz="0" w:space="0" w:color="auto"/>
        <w:left w:val="none" w:sz="0" w:space="0" w:color="auto"/>
        <w:bottom w:val="none" w:sz="0" w:space="0" w:color="auto"/>
        <w:right w:val="none" w:sz="0" w:space="0" w:color="auto"/>
      </w:divBdr>
      <w:divsChild>
        <w:div w:id="1305112788">
          <w:marLeft w:val="0"/>
          <w:marRight w:val="0"/>
          <w:marTop w:val="0"/>
          <w:marBottom w:val="0"/>
          <w:divBdr>
            <w:top w:val="none" w:sz="0" w:space="0" w:color="auto"/>
            <w:left w:val="none" w:sz="0" w:space="0" w:color="auto"/>
            <w:bottom w:val="none" w:sz="0" w:space="0" w:color="auto"/>
            <w:right w:val="none" w:sz="0" w:space="0" w:color="auto"/>
          </w:divBdr>
        </w:div>
      </w:divsChild>
    </w:div>
    <w:div w:id="939146315">
      <w:bodyDiv w:val="1"/>
      <w:marLeft w:val="0"/>
      <w:marRight w:val="0"/>
      <w:marTop w:val="0"/>
      <w:marBottom w:val="0"/>
      <w:divBdr>
        <w:top w:val="none" w:sz="0" w:space="0" w:color="auto"/>
        <w:left w:val="none" w:sz="0" w:space="0" w:color="auto"/>
        <w:bottom w:val="none" w:sz="0" w:space="0" w:color="auto"/>
        <w:right w:val="none" w:sz="0" w:space="0" w:color="auto"/>
      </w:divBdr>
      <w:divsChild>
        <w:div w:id="749812578">
          <w:marLeft w:val="0"/>
          <w:marRight w:val="0"/>
          <w:marTop w:val="0"/>
          <w:marBottom w:val="0"/>
          <w:divBdr>
            <w:top w:val="none" w:sz="0" w:space="0" w:color="auto"/>
            <w:left w:val="none" w:sz="0" w:space="0" w:color="auto"/>
            <w:bottom w:val="none" w:sz="0" w:space="0" w:color="auto"/>
            <w:right w:val="none" w:sz="0" w:space="0" w:color="auto"/>
          </w:divBdr>
        </w:div>
      </w:divsChild>
    </w:div>
    <w:div w:id="11915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F9A9-6391-4E52-BF28-7A76FBF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8753</Words>
  <Characters>49898</Characters>
  <Application>Microsoft Office Word</Application>
  <DocSecurity>0</DocSecurity>
  <Lines>415</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58534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Mijeong Baek</dc:creator>
  <cp:lastModifiedBy>Shaw, Daron R</cp:lastModifiedBy>
  <cp:revision>3</cp:revision>
  <cp:lastPrinted>2015-05-06T15:33:00Z</cp:lastPrinted>
  <dcterms:created xsi:type="dcterms:W3CDTF">2015-05-15T20:11:00Z</dcterms:created>
  <dcterms:modified xsi:type="dcterms:W3CDTF">2015-05-15T20:35:00Z</dcterms:modified>
</cp:coreProperties>
</file>